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D4209" w14:textId="20CE4C4B" w:rsidR="001176F5" w:rsidRPr="004C1854" w:rsidRDefault="001176F5" w:rsidP="001176F5">
      <w:pPr>
        <w:ind w:left="2160" w:firstLine="720"/>
        <w:rPr>
          <w:rFonts w:ascii="Arial" w:hAnsi="Arial" w:cs="Arial"/>
          <w:b/>
          <w:bCs/>
          <w:sz w:val="34"/>
          <w:szCs w:val="34"/>
        </w:rPr>
      </w:pPr>
      <w:r w:rsidRPr="004C1854">
        <w:rPr>
          <w:rFonts w:ascii="Arial" w:hAnsi="Arial" w:cs="Arial"/>
          <w:b/>
          <w:bCs/>
          <w:sz w:val="34"/>
          <w:szCs w:val="34"/>
        </w:rPr>
        <w:t xml:space="preserve">DISPLAY NOTICE </w:t>
      </w:r>
    </w:p>
    <w:p w14:paraId="28A84798" w14:textId="77777777" w:rsidR="00A165AB" w:rsidRPr="00A165AB" w:rsidRDefault="00A165AB" w:rsidP="00A165AB">
      <w:pPr>
        <w:pBdr>
          <w:bottom w:val="single" w:sz="4" w:space="1" w:color="auto"/>
        </w:pBdr>
        <w:jc w:val="center"/>
        <w:rPr>
          <w:rFonts w:ascii="Arial" w:hAnsi="Arial" w:cs="Arial"/>
          <w:b/>
          <w:sz w:val="34"/>
          <w:szCs w:val="34"/>
        </w:rPr>
      </w:pPr>
      <w:r w:rsidRPr="00A165AB">
        <w:rPr>
          <w:rFonts w:ascii="Arial" w:hAnsi="Arial" w:cs="Arial"/>
          <w:b/>
          <w:sz w:val="34"/>
          <w:szCs w:val="34"/>
        </w:rPr>
        <w:t>Extended trading hours for the Rugby World Cup 2023</w:t>
      </w:r>
    </w:p>
    <w:p w14:paraId="13A9ED35" w14:textId="7A5E2210" w:rsidR="00090B41" w:rsidRPr="00E61C74" w:rsidRDefault="00090B41" w:rsidP="00090B41">
      <w:pPr>
        <w:rPr>
          <w:rFonts w:ascii="Arial" w:hAnsi="Arial" w:cs="Arial"/>
        </w:rPr>
      </w:pPr>
      <w:r w:rsidRPr="00E61C74">
        <w:rPr>
          <w:rFonts w:ascii="Arial" w:hAnsi="Arial" w:cs="Arial"/>
        </w:rPr>
        <w:t xml:space="preserve">This </w:t>
      </w:r>
      <w:r w:rsidR="00FC0479">
        <w:rPr>
          <w:rFonts w:ascii="Arial" w:hAnsi="Arial" w:cs="Arial"/>
        </w:rPr>
        <w:t>premises</w:t>
      </w:r>
      <w:r w:rsidRPr="00E61C74">
        <w:rPr>
          <w:rFonts w:ascii="Arial" w:hAnsi="Arial" w:cs="Arial"/>
        </w:rPr>
        <w:t xml:space="preserve"> will be </w:t>
      </w:r>
      <w:r w:rsidR="00C23DE9">
        <w:rPr>
          <w:rFonts w:ascii="Arial" w:hAnsi="Arial" w:cs="Arial"/>
        </w:rPr>
        <w:t xml:space="preserve">open </w:t>
      </w:r>
      <w:r w:rsidRPr="00E61C74">
        <w:rPr>
          <w:rFonts w:ascii="Arial" w:hAnsi="Arial" w:cs="Arial"/>
        </w:rPr>
        <w:t xml:space="preserve">to televise live games from the Rugby World Cup 2023 </w:t>
      </w:r>
      <w:r w:rsidR="00C23DE9" w:rsidRPr="00E61C74">
        <w:rPr>
          <w:rFonts w:ascii="Arial" w:hAnsi="Arial" w:cs="Arial"/>
        </w:rPr>
        <w:t xml:space="preserve">during the following times </w:t>
      </w:r>
      <w:r w:rsidRPr="00E61C74">
        <w:rPr>
          <w:rFonts w:ascii="Arial" w:hAnsi="Arial" w:cs="Arial"/>
        </w:rPr>
        <w:t xml:space="preserve">that fall outside our </w:t>
      </w:r>
      <w:r w:rsidR="00F55409">
        <w:rPr>
          <w:rFonts w:ascii="Arial" w:hAnsi="Arial" w:cs="Arial"/>
        </w:rPr>
        <w:t>usual</w:t>
      </w:r>
      <w:r w:rsidRPr="00E61C74">
        <w:rPr>
          <w:rFonts w:ascii="Arial" w:hAnsi="Arial" w:cs="Arial"/>
        </w:rPr>
        <w:t xml:space="preserve"> trading hours.</w:t>
      </w:r>
    </w:p>
    <w:p w14:paraId="1928DC40" w14:textId="413947F8" w:rsidR="001176F5" w:rsidRDefault="00AE4102">
      <w:pPr>
        <w:rPr>
          <w:rFonts w:ascii="Arial" w:hAnsi="Arial" w:cs="Arial"/>
          <w:b/>
          <w:bCs/>
        </w:rPr>
      </w:pPr>
      <w:r w:rsidRPr="00E61C74">
        <w:rPr>
          <w:rFonts w:ascii="Arial" w:hAnsi="Arial" w:cs="Arial"/>
          <w:b/>
          <w:bCs/>
        </w:rPr>
        <w:t xml:space="preserve">**Please note: </w:t>
      </w:r>
      <w:r w:rsidR="00083BD4" w:rsidRPr="00E61C74">
        <w:rPr>
          <w:rFonts w:ascii="Arial" w:hAnsi="Arial" w:cs="Arial"/>
          <w:b/>
          <w:bCs/>
        </w:rPr>
        <w:t xml:space="preserve">We </w:t>
      </w:r>
      <w:r w:rsidR="00D365E9">
        <w:rPr>
          <w:rFonts w:ascii="Arial" w:hAnsi="Arial" w:cs="Arial"/>
          <w:b/>
          <w:bCs/>
        </w:rPr>
        <w:t>are generally</w:t>
      </w:r>
      <w:r w:rsidR="00083BD4" w:rsidRPr="00E61C74">
        <w:rPr>
          <w:rFonts w:ascii="Arial" w:hAnsi="Arial" w:cs="Arial"/>
          <w:b/>
          <w:bCs/>
        </w:rPr>
        <w:t xml:space="preserve"> required </w:t>
      </w:r>
      <w:r w:rsidR="006D5BE3" w:rsidRPr="005F6464">
        <w:rPr>
          <w:rFonts w:ascii="Arial" w:hAnsi="Arial" w:cs="Arial"/>
          <w:b/>
          <w:bCs/>
        </w:rPr>
        <w:t xml:space="preserve">by law </w:t>
      </w:r>
      <w:r w:rsidR="00083BD4" w:rsidRPr="00E61C74">
        <w:rPr>
          <w:rFonts w:ascii="Arial" w:hAnsi="Arial" w:cs="Arial"/>
          <w:b/>
          <w:bCs/>
        </w:rPr>
        <w:t xml:space="preserve">to stop selling alcohol 30 minutes after the game </w:t>
      </w:r>
      <w:r w:rsidR="00795BD0">
        <w:rPr>
          <w:rFonts w:ascii="Arial" w:hAnsi="Arial" w:cs="Arial"/>
          <w:b/>
          <w:bCs/>
        </w:rPr>
        <w:t>ends</w:t>
      </w:r>
      <w:r w:rsidRPr="00E61C74">
        <w:rPr>
          <w:rFonts w:ascii="Arial" w:hAnsi="Arial" w:cs="Arial"/>
          <w:b/>
          <w:bCs/>
        </w:rPr>
        <w:t>**</w:t>
      </w:r>
    </w:p>
    <w:p w14:paraId="37342A56" w14:textId="77777777" w:rsidR="00DB1D30" w:rsidRPr="00E61C74" w:rsidRDefault="00DB1D30">
      <w:pPr>
        <w:rPr>
          <w:rFonts w:ascii="Arial" w:hAnsi="Arial" w:cs="Arial"/>
          <w:b/>
          <w:bCs/>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134"/>
        <w:gridCol w:w="3686"/>
        <w:gridCol w:w="4206"/>
      </w:tblGrid>
      <w:tr w:rsidR="001176F5" w:rsidRPr="00E61C74" w14:paraId="24EA0C76" w14:textId="77777777" w:rsidTr="00854E55">
        <w:tc>
          <w:tcPr>
            <w:tcW w:w="1134" w:type="dxa"/>
          </w:tcPr>
          <w:p w14:paraId="333D7155" w14:textId="52D106B6" w:rsidR="001176F5" w:rsidRPr="001176F5" w:rsidRDefault="001176F5" w:rsidP="001176F5">
            <w:pPr>
              <w:spacing w:after="0" w:line="240" w:lineRule="auto"/>
              <w:ind w:right="-79"/>
              <w:rPr>
                <w:rFonts w:ascii="Arial" w:eastAsia="Calibri" w:hAnsi="Arial" w:cs="Arial"/>
                <w:b/>
                <w:sz w:val="24"/>
                <w:szCs w:val="24"/>
              </w:rPr>
            </w:pPr>
            <w:r w:rsidRPr="00E61C74">
              <w:rPr>
                <w:rFonts w:ascii="Arial" w:eastAsia="Calibri" w:hAnsi="Arial" w:cs="Arial"/>
                <w:b/>
                <w:sz w:val="24"/>
                <w:szCs w:val="24"/>
              </w:rPr>
              <w:t>Date</w:t>
            </w:r>
          </w:p>
        </w:tc>
        <w:tc>
          <w:tcPr>
            <w:tcW w:w="3686" w:type="dxa"/>
          </w:tcPr>
          <w:p w14:paraId="6CAD093B" w14:textId="5DF262E0" w:rsidR="001176F5" w:rsidRPr="00E61C74" w:rsidRDefault="001176F5" w:rsidP="001176F5">
            <w:pPr>
              <w:spacing w:after="0" w:line="240" w:lineRule="auto"/>
              <w:ind w:right="-79"/>
              <w:rPr>
                <w:rFonts w:ascii="Arial" w:eastAsia="Calibri" w:hAnsi="Arial" w:cs="Arial"/>
                <w:b/>
                <w:sz w:val="24"/>
                <w:szCs w:val="24"/>
              </w:rPr>
            </w:pPr>
            <w:r w:rsidRPr="00E61C74">
              <w:rPr>
                <w:rFonts w:ascii="Arial" w:eastAsia="Calibri" w:hAnsi="Arial" w:cs="Arial"/>
                <w:b/>
                <w:sz w:val="24"/>
                <w:szCs w:val="24"/>
              </w:rPr>
              <w:t>Game</w:t>
            </w:r>
          </w:p>
        </w:tc>
        <w:tc>
          <w:tcPr>
            <w:tcW w:w="4206" w:type="dxa"/>
          </w:tcPr>
          <w:p w14:paraId="573199E7" w14:textId="7D57494A" w:rsidR="001176F5" w:rsidRPr="001176F5" w:rsidRDefault="001176F5" w:rsidP="001176F5">
            <w:pPr>
              <w:spacing w:after="0" w:line="240" w:lineRule="auto"/>
              <w:ind w:right="-79"/>
              <w:rPr>
                <w:rFonts w:ascii="Arial" w:eastAsia="Calibri" w:hAnsi="Arial" w:cs="Arial"/>
                <w:b/>
                <w:sz w:val="24"/>
                <w:szCs w:val="24"/>
              </w:rPr>
            </w:pPr>
            <w:r w:rsidRPr="00E61C74">
              <w:rPr>
                <w:rFonts w:ascii="Arial" w:eastAsia="Calibri" w:hAnsi="Arial" w:cs="Arial"/>
                <w:b/>
                <w:sz w:val="24"/>
                <w:szCs w:val="24"/>
              </w:rPr>
              <w:t>Opening and closing time</w:t>
            </w:r>
          </w:p>
        </w:tc>
      </w:tr>
      <w:tr w:rsidR="001176F5" w:rsidRPr="00E61C74" w14:paraId="776BCA93" w14:textId="77777777" w:rsidTr="00854E55">
        <w:tc>
          <w:tcPr>
            <w:tcW w:w="1134" w:type="dxa"/>
          </w:tcPr>
          <w:p w14:paraId="41ECC0AA" w14:textId="1722FF37" w:rsidR="001176F5" w:rsidRPr="001176F5" w:rsidRDefault="001176F5" w:rsidP="001176F5">
            <w:pPr>
              <w:spacing w:after="0" w:line="480" w:lineRule="auto"/>
              <w:ind w:right="-79"/>
              <w:rPr>
                <w:rFonts w:ascii="Arial" w:eastAsia="Calibri" w:hAnsi="Arial" w:cs="Arial"/>
                <w:bCs/>
              </w:rPr>
            </w:pPr>
          </w:p>
        </w:tc>
        <w:tc>
          <w:tcPr>
            <w:tcW w:w="3686" w:type="dxa"/>
          </w:tcPr>
          <w:p w14:paraId="78E17D95" w14:textId="2225971D" w:rsidR="001176F5" w:rsidRPr="00EB4B50" w:rsidRDefault="001176F5" w:rsidP="001176F5">
            <w:pPr>
              <w:spacing w:after="0" w:line="480" w:lineRule="auto"/>
              <w:ind w:right="-79"/>
              <w:rPr>
                <w:rFonts w:ascii="Arial" w:eastAsia="Calibri" w:hAnsi="Arial" w:cs="Arial"/>
                <w:bCs/>
              </w:rPr>
            </w:pPr>
          </w:p>
        </w:tc>
        <w:tc>
          <w:tcPr>
            <w:tcW w:w="4206" w:type="dxa"/>
          </w:tcPr>
          <w:p w14:paraId="32A823A2" w14:textId="357D4750" w:rsidR="00083BD4" w:rsidRPr="00A36161" w:rsidRDefault="00083BD4" w:rsidP="00083BD4">
            <w:pPr>
              <w:spacing w:after="0" w:line="240" w:lineRule="auto"/>
              <w:ind w:right="-79"/>
              <w:rPr>
                <w:rFonts w:ascii="Arial" w:eastAsia="Calibri" w:hAnsi="Arial" w:cs="Arial"/>
                <w:bCs/>
                <w:sz w:val="24"/>
                <w:szCs w:val="24"/>
              </w:rPr>
            </w:pPr>
          </w:p>
        </w:tc>
      </w:tr>
      <w:tr w:rsidR="001176F5" w:rsidRPr="001176F5" w14:paraId="3D85C685" w14:textId="77777777" w:rsidTr="00854E55">
        <w:tc>
          <w:tcPr>
            <w:tcW w:w="1134" w:type="dxa"/>
          </w:tcPr>
          <w:p w14:paraId="7D47699A" w14:textId="77777777" w:rsidR="001176F5" w:rsidRPr="001176F5" w:rsidRDefault="001176F5" w:rsidP="001176F5">
            <w:pPr>
              <w:spacing w:after="0" w:line="480" w:lineRule="auto"/>
              <w:ind w:right="-79"/>
              <w:rPr>
                <w:rFonts w:ascii="Calibri" w:eastAsia="Calibri" w:hAnsi="Calibri" w:cs="Times New Roman"/>
                <w:b/>
                <w:sz w:val="24"/>
                <w:szCs w:val="24"/>
              </w:rPr>
            </w:pPr>
          </w:p>
        </w:tc>
        <w:tc>
          <w:tcPr>
            <w:tcW w:w="3686" w:type="dxa"/>
          </w:tcPr>
          <w:p w14:paraId="58A76FA0" w14:textId="77777777" w:rsidR="001176F5" w:rsidRPr="001176F5" w:rsidRDefault="001176F5" w:rsidP="001176F5">
            <w:pPr>
              <w:spacing w:after="0" w:line="480" w:lineRule="auto"/>
              <w:ind w:right="-79"/>
              <w:rPr>
                <w:rFonts w:ascii="Calibri" w:eastAsia="Calibri" w:hAnsi="Calibri" w:cs="Times New Roman"/>
                <w:b/>
                <w:sz w:val="24"/>
                <w:szCs w:val="24"/>
              </w:rPr>
            </w:pPr>
          </w:p>
        </w:tc>
        <w:tc>
          <w:tcPr>
            <w:tcW w:w="4206" w:type="dxa"/>
          </w:tcPr>
          <w:p w14:paraId="37AB310E" w14:textId="7D9BAF77" w:rsidR="001176F5" w:rsidRPr="001176F5" w:rsidRDefault="001176F5" w:rsidP="001176F5">
            <w:pPr>
              <w:spacing w:after="0" w:line="480" w:lineRule="auto"/>
              <w:ind w:right="-79"/>
              <w:rPr>
                <w:rFonts w:ascii="Calibri" w:eastAsia="Calibri" w:hAnsi="Calibri" w:cs="Times New Roman"/>
                <w:b/>
                <w:sz w:val="24"/>
                <w:szCs w:val="24"/>
              </w:rPr>
            </w:pPr>
          </w:p>
        </w:tc>
      </w:tr>
      <w:tr w:rsidR="001176F5" w:rsidRPr="001176F5" w14:paraId="764DB512" w14:textId="77777777" w:rsidTr="00854E55">
        <w:tc>
          <w:tcPr>
            <w:tcW w:w="1134" w:type="dxa"/>
          </w:tcPr>
          <w:p w14:paraId="501DAD63" w14:textId="77777777" w:rsidR="001176F5" w:rsidRPr="001176F5" w:rsidRDefault="001176F5" w:rsidP="001176F5">
            <w:pPr>
              <w:spacing w:after="0" w:line="480" w:lineRule="auto"/>
              <w:ind w:right="-79"/>
              <w:rPr>
                <w:rFonts w:ascii="Calibri" w:eastAsia="Calibri" w:hAnsi="Calibri" w:cs="Times New Roman"/>
                <w:b/>
                <w:sz w:val="24"/>
                <w:szCs w:val="24"/>
              </w:rPr>
            </w:pPr>
          </w:p>
        </w:tc>
        <w:tc>
          <w:tcPr>
            <w:tcW w:w="3686" w:type="dxa"/>
          </w:tcPr>
          <w:p w14:paraId="799B1466" w14:textId="77777777" w:rsidR="001176F5" w:rsidRPr="001176F5" w:rsidRDefault="001176F5" w:rsidP="001176F5">
            <w:pPr>
              <w:spacing w:after="0" w:line="480" w:lineRule="auto"/>
              <w:ind w:right="-79"/>
              <w:rPr>
                <w:rFonts w:ascii="Calibri" w:eastAsia="Calibri" w:hAnsi="Calibri" w:cs="Times New Roman"/>
                <w:b/>
                <w:sz w:val="24"/>
                <w:szCs w:val="24"/>
              </w:rPr>
            </w:pPr>
          </w:p>
        </w:tc>
        <w:tc>
          <w:tcPr>
            <w:tcW w:w="4206" w:type="dxa"/>
          </w:tcPr>
          <w:p w14:paraId="1D919D56" w14:textId="2A722FA8" w:rsidR="001176F5" w:rsidRPr="001176F5" w:rsidRDefault="001176F5" w:rsidP="001176F5">
            <w:pPr>
              <w:spacing w:after="0" w:line="480" w:lineRule="auto"/>
              <w:ind w:right="-79"/>
              <w:rPr>
                <w:rFonts w:ascii="Calibri" w:eastAsia="Calibri" w:hAnsi="Calibri" w:cs="Times New Roman"/>
                <w:b/>
                <w:sz w:val="24"/>
                <w:szCs w:val="24"/>
              </w:rPr>
            </w:pPr>
          </w:p>
        </w:tc>
      </w:tr>
      <w:tr w:rsidR="001176F5" w:rsidRPr="001176F5" w14:paraId="3B1943DB" w14:textId="77777777" w:rsidTr="00854E55">
        <w:tc>
          <w:tcPr>
            <w:tcW w:w="1134" w:type="dxa"/>
          </w:tcPr>
          <w:p w14:paraId="1E2862A9" w14:textId="77777777" w:rsidR="001176F5" w:rsidRPr="001176F5" w:rsidRDefault="001176F5" w:rsidP="001176F5">
            <w:pPr>
              <w:spacing w:after="0" w:line="480" w:lineRule="auto"/>
              <w:ind w:right="-79"/>
              <w:rPr>
                <w:rFonts w:ascii="Calibri" w:eastAsia="Calibri" w:hAnsi="Calibri" w:cs="Times New Roman"/>
                <w:b/>
                <w:sz w:val="24"/>
                <w:szCs w:val="24"/>
              </w:rPr>
            </w:pPr>
          </w:p>
        </w:tc>
        <w:tc>
          <w:tcPr>
            <w:tcW w:w="3686" w:type="dxa"/>
          </w:tcPr>
          <w:p w14:paraId="09024E06" w14:textId="77777777" w:rsidR="001176F5" w:rsidRPr="001176F5" w:rsidRDefault="001176F5" w:rsidP="001176F5">
            <w:pPr>
              <w:spacing w:after="0" w:line="480" w:lineRule="auto"/>
              <w:ind w:right="-79"/>
              <w:rPr>
                <w:rFonts w:ascii="Calibri" w:eastAsia="Calibri" w:hAnsi="Calibri" w:cs="Times New Roman"/>
                <w:b/>
                <w:sz w:val="24"/>
                <w:szCs w:val="24"/>
              </w:rPr>
            </w:pPr>
          </w:p>
        </w:tc>
        <w:tc>
          <w:tcPr>
            <w:tcW w:w="4206" w:type="dxa"/>
          </w:tcPr>
          <w:p w14:paraId="0E5DAF43" w14:textId="4D6A7B20" w:rsidR="001176F5" w:rsidRPr="001176F5" w:rsidRDefault="001176F5" w:rsidP="001176F5">
            <w:pPr>
              <w:spacing w:after="0" w:line="480" w:lineRule="auto"/>
              <w:ind w:right="-79"/>
              <w:rPr>
                <w:rFonts w:ascii="Calibri" w:eastAsia="Calibri" w:hAnsi="Calibri" w:cs="Times New Roman"/>
                <w:b/>
                <w:sz w:val="24"/>
                <w:szCs w:val="24"/>
              </w:rPr>
            </w:pPr>
          </w:p>
        </w:tc>
      </w:tr>
      <w:tr w:rsidR="001176F5" w:rsidRPr="001176F5" w14:paraId="727FE49A" w14:textId="77777777" w:rsidTr="00854E55">
        <w:tc>
          <w:tcPr>
            <w:tcW w:w="1134" w:type="dxa"/>
          </w:tcPr>
          <w:p w14:paraId="534CE9F8" w14:textId="77777777" w:rsidR="001176F5" w:rsidRPr="001176F5" w:rsidRDefault="001176F5" w:rsidP="001176F5">
            <w:pPr>
              <w:spacing w:after="0" w:line="480" w:lineRule="auto"/>
              <w:ind w:right="-79"/>
              <w:rPr>
                <w:rFonts w:ascii="Calibri" w:eastAsia="Calibri" w:hAnsi="Calibri" w:cs="Times New Roman"/>
                <w:b/>
                <w:sz w:val="24"/>
                <w:szCs w:val="24"/>
              </w:rPr>
            </w:pPr>
          </w:p>
        </w:tc>
        <w:tc>
          <w:tcPr>
            <w:tcW w:w="3686" w:type="dxa"/>
          </w:tcPr>
          <w:p w14:paraId="6D2626B5" w14:textId="77777777" w:rsidR="001176F5" w:rsidRPr="001176F5" w:rsidRDefault="001176F5" w:rsidP="001176F5">
            <w:pPr>
              <w:spacing w:after="0" w:line="480" w:lineRule="auto"/>
              <w:ind w:right="-79"/>
              <w:rPr>
                <w:rFonts w:ascii="Calibri" w:eastAsia="Calibri" w:hAnsi="Calibri" w:cs="Times New Roman"/>
                <w:b/>
                <w:sz w:val="24"/>
                <w:szCs w:val="24"/>
              </w:rPr>
            </w:pPr>
          </w:p>
        </w:tc>
        <w:tc>
          <w:tcPr>
            <w:tcW w:w="4206" w:type="dxa"/>
          </w:tcPr>
          <w:p w14:paraId="48B8BEE3" w14:textId="3877F606" w:rsidR="001176F5" w:rsidRPr="001176F5" w:rsidRDefault="001176F5" w:rsidP="001176F5">
            <w:pPr>
              <w:spacing w:after="0" w:line="480" w:lineRule="auto"/>
              <w:ind w:right="-79"/>
              <w:rPr>
                <w:rFonts w:ascii="Calibri" w:eastAsia="Calibri" w:hAnsi="Calibri" w:cs="Times New Roman"/>
                <w:b/>
                <w:sz w:val="24"/>
                <w:szCs w:val="24"/>
              </w:rPr>
            </w:pPr>
          </w:p>
        </w:tc>
      </w:tr>
      <w:tr w:rsidR="001176F5" w:rsidRPr="001176F5" w14:paraId="5E8AA1AD" w14:textId="77777777" w:rsidTr="00854E55">
        <w:tc>
          <w:tcPr>
            <w:tcW w:w="1134" w:type="dxa"/>
          </w:tcPr>
          <w:p w14:paraId="2F71D57E" w14:textId="77777777" w:rsidR="001176F5" w:rsidRPr="001176F5" w:rsidRDefault="001176F5" w:rsidP="001176F5">
            <w:pPr>
              <w:spacing w:after="0" w:line="480" w:lineRule="auto"/>
              <w:ind w:right="-79"/>
              <w:rPr>
                <w:rFonts w:ascii="Calibri" w:eastAsia="Calibri" w:hAnsi="Calibri" w:cs="Times New Roman"/>
                <w:b/>
                <w:sz w:val="24"/>
                <w:szCs w:val="24"/>
              </w:rPr>
            </w:pPr>
          </w:p>
        </w:tc>
        <w:tc>
          <w:tcPr>
            <w:tcW w:w="3686" w:type="dxa"/>
          </w:tcPr>
          <w:p w14:paraId="238ECB45" w14:textId="77777777" w:rsidR="001176F5" w:rsidRPr="001176F5" w:rsidRDefault="001176F5" w:rsidP="001176F5">
            <w:pPr>
              <w:spacing w:after="0" w:line="480" w:lineRule="auto"/>
              <w:ind w:right="-79"/>
              <w:rPr>
                <w:rFonts w:ascii="Calibri" w:eastAsia="Calibri" w:hAnsi="Calibri" w:cs="Times New Roman"/>
                <w:b/>
                <w:sz w:val="24"/>
                <w:szCs w:val="24"/>
              </w:rPr>
            </w:pPr>
          </w:p>
        </w:tc>
        <w:tc>
          <w:tcPr>
            <w:tcW w:w="4206" w:type="dxa"/>
          </w:tcPr>
          <w:p w14:paraId="3D180BD4" w14:textId="6BA7E87C" w:rsidR="001176F5" w:rsidRPr="001176F5" w:rsidRDefault="001176F5" w:rsidP="001176F5">
            <w:pPr>
              <w:spacing w:after="0" w:line="480" w:lineRule="auto"/>
              <w:ind w:right="-79"/>
              <w:rPr>
                <w:rFonts w:ascii="Calibri" w:eastAsia="Calibri" w:hAnsi="Calibri" w:cs="Times New Roman"/>
                <w:b/>
                <w:sz w:val="24"/>
                <w:szCs w:val="24"/>
              </w:rPr>
            </w:pPr>
          </w:p>
        </w:tc>
      </w:tr>
      <w:tr w:rsidR="001176F5" w:rsidRPr="001176F5" w14:paraId="01EA6339" w14:textId="77777777" w:rsidTr="00854E55">
        <w:tc>
          <w:tcPr>
            <w:tcW w:w="1134" w:type="dxa"/>
          </w:tcPr>
          <w:p w14:paraId="076945A3" w14:textId="77777777" w:rsidR="001176F5" w:rsidRPr="001176F5" w:rsidRDefault="001176F5" w:rsidP="001176F5">
            <w:pPr>
              <w:spacing w:after="0" w:line="480" w:lineRule="auto"/>
              <w:ind w:right="-79"/>
              <w:rPr>
                <w:rFonts w:ascii="Calibri" w:eastAsia="Calibri" w:hAnsi="Calibri" w:cs="Times New Roman"/>
                <w:b/>
                <w:sz w:val="24"/>
                <w:szCs w:val="24"/>
              </w:rPr>
            </w:pPr>
          </w:p>
        </w:tc>
        <w:tc>
          <w:tcPr>
            <w:tcW w:w="3686" w:type="dxa"/>
          </w:tcPr>
          <w:p w14:paraId="2B181E3D" w14:textId="77777777" w:rsidR="001176F5" w:rsidRPr="001176F5" w:rsidRDefault="001176F5" w:rsidP="001176F5">
            <w:pPr>
              <w:spacing w:after="0" w:line="480" w:lineRule="auto"/>
              <w:ind w:right="-79"/>
              <w:rPr>
                <w:rFonts w:ascii="Calibri" w:eastAsia="Calibri" w:hAnsi="Calibri" w:cs="Times New Roman"/>
                <w:b/>
                <w:sz w:val="24"/>
                <w:szCs w:val="24"/>
              </w:rPr>
            </w:pPr>
          </w:p>
        </w:tc>
        <w:tc>
          <w:tcPr>
            <w:tcW w:w="4206" w:type="dxa"/>
          </w:tcPr>
          <w:p w14:paraId="6CA1453F" w14:textId="3818D109" w:rsidR="001176F5" w:rsidRPr="001176F5" w:rsidRDefault="001176F5" w:rsidP="001176F5">
            <w:pPr>
              <w:spacing w:after="0" w:line="480" w:lineRule="auto"/>
              <w:ind w:right="-79"/>
              <w:rPr>
                <w:rFonts w:ascii="Calibri" w:eastAsia="Calibri" w:hAnsi="Calibri" w:cs="Times New Roman"/>
                <w:b/>
                <w:sz w:val="24"/>
                <w:szCs w:val="24"/>
              </w:rPr>
            </w:pPr>
          </w:p>
        </w:tc>
      </w:tr>
      <w:tr w:rsidR="001176F5" w:rsidRPr="001176F5" w14:paraId="01CE2B68" w14:textId="77777777" w:rsidTr="00854E55">
        <w:tc>
          <w:tcPr>
            <w:tcW w:w="1134" w:type="dxa"/>
          </w:tcPr>
          <w:p w14:paraId="17ED3363" w14:textId="77777777" w:rsidR="001176F5" w:rsidRPr="001176F5" w:rsidRDefault="001176F5" w:rsidP="001176F5">
            <w:pPr>
              <w:spacing w:after="0" w:line="480" w:lineRule="auto"/>
              <w:ind w:right="-79"/>
              <w:rPr>
                <w:rFonts w:ascii="Calibri" w:eastAsia="Calibri" w:hAnsi="Calibri" w:cs="Times New Roman"/>
                <w:b/>
                <w:sz w:val="24"/>
                <w:szCs w:val="24"/>
              </w:rPr>
            </w:pPr>
          </w:p>
        </w:tc>
        <w:tc>
          <w:tcPr>
            <w:tcW w:w="3686" w:type="dxa"/>
          </w:tcPr>
          <w:p w14:paraId="377E1798" w14:textId="77777777" w:rsidR="001176F5" w:rsidRPr="001176F5" w:rsidRDefault="001176F5" w:rsidP="001176F5">
            <w:pPr>
              <w:spacing w:after="0" w:line="480" w:lineRule="auto"/>
              <w:ind w:right="-79"/>
              <w:rPr>
                <w:rFonts w:ascii="Calibri" w:eastAsia="Calibri" w:hAnsi="Calibri" w:cs="Times New Roman"/>
                <w:b/>
                <w:sz w:val="24"/>
                <w:szCs w:val="24"/>
              </w:rPr>
            </w:pPr>
          </w:p>
        </w:tc>
        <w:tc>
          <w:tcPr>
            <w:tcW w:w="4206" w:type="dxa"/>
          </w:tcPr>
          <w:p w14:paraId="01D920DB" w14:textId="574CC713" w:rsidR="001176F5" w:rsidRPr="001176F5" w:rsidRDefault="001176F5" w:rsidP="001176F5">
            <w:pPr>
              <w:spacing w:after="0" w:line="480" w:lineRule="auto"/>
              <w:ind w:right="-79"/>
              <w:rPr>
                <w:rFonts w:ascii="Calibri" w:eastAsia="Calibri" w:hAnsi="Calibri" w:cs="Times New Roman"/>
                <w:b/>
                <w:sz w:val="24"/>
                <w:szCs w:val="24"/>
              </w:rPr>
            </w:pPr>
          </w:p>
        </w:tc>
      </w:tr>
      <w:tr w:rsidR="001176F5" w:rsidRPr="001176F5" w14:paraId="7A56E84C" w14:textId="77777777" w:rsidTr="00854E55">
        <w:tc>
          <w:tcPr>
            <w:tcW w:w="1134" w:type="dxa"/>
          </w:tcPr>
          <w:p w14:paraId="5D63F0F3" w14:textId="77777777" w:rsidR="001176F5" w:rsidRPr="001176F5" w:rsidRDefault="001176F5" w:rsidP="001176F5">
            <w:pPr>
              <w:spacing w:after="0" w:line="480" w:lineRule="auto"/>
              <w:ind w:right="-79"/>
              <w:rPr>
                <w:rFonts w:ascii="Calibri" w:eastAsia="Calibri" w:hAnsi="Calibri" w:cs="Times New Roman"/>
                <w:b/>
                <w:sz w:val="24"/>
                <w:szCs w:val="24"/>
              </w:rPr>
            </w:pPr>
          </w:p>
        </w:tc>
        <w:tc>
          <w:tcPr>
            <w:tcW w:w="3686" w:type="dxa"/>
          </w:tcPr>
          <w:p w14:paraId="0FBCC156" w14:textId="77777777" w:rsidR="001176F5" w:rsidRPr="001176F5" w:rsidRDefault="001176F5" w:rsidP="001176F5">
            <w:pPr>
              <w:spacing w:after="0" w:line="480" w:lineRule="auto"/>
              <w:ind w:right="-79"/>
              <w:rPr>
                <w:rFonts w:ascii="Calibri" w:eastAsia="Calibri" w:hAnsi="Calibri" w:cs="Times New Roman"/>
                <w:b/>
                <w:sz w:val="24"/>
                <w:szCs w:val="24"/>
              </w:rPr>
            </w:pPr>
          </w:p>
        </w:tc>
        <w:tc>
          <w:tcPr>
            <w:tcW w:w="4206" w:type="dxa"/>
          </w:tcPr>
          <w:p w14:paraId="5E1F85A5" w14:textId="7B5BE713" w:rsidR="001176F5" w:rsidRPr="001176F5" w:rsidRDefault="001176F5" w:rsidP="001176F5">
            <w:pPr>
              <w:spacing w:after="0" w:line="480" w:lineRule="auto"/>
              <w:ind w:right="-79"/>
              <w:rPr>
                <w:rFonts w:ascii="Calibri" w:eastAsia="Calibri" w:hAnsi="Calibri" w:cs="Times New Roman"/>
                <w:b/>
                <w:sz w:val="24"/>
                <w:szCs w:val="24"/>
              </w:rPr>
            </w:pPr>
          </w:p>
        </w:tc>
      </w:tr>
      <w:tr w:rsidR="001176F5" w:rsidRPr="001176F5" w14:paraId="28798CFC" w14:textId="77777777" w:rsidTr="00854E55">
        <w:tc>
          <w:tcPr>
            <w:tcW w:w="1134" w:type="dxa"/>
          </w:tcPr>
          <w:p w14:paraId="731AB83F" w14:textId="77777777" w:rsidR="001176F5" w:rsidRPr="001176F5" w:rsidRDefault="001176F5" w:rsidP="001176F5">
            <w:pPr>
              <w:spacing w:after="0" w:line="480" w:lineRule="auto"/>
              <w:ind w:right="-79"/>
              <w:rPr>
                <w:rFonts w:ascii="Calibri" w:eastAsia="Calibri" w:hAnsi="Calibri" w:cs="Times New Roman"/>
                <w:b/>
                <w:sz w:val="24"/>
                <w:szCs w:val="24"/>
              </w:rPr>
            </w:pPr>
          </w:p>
        </w:tc>
        <w:tc>
          <w:tcPr>
            <w:tcW w:w="3686" w:type="dxa"/>
          </w:tcPr>
          <w:p w14:paraId="74CFE6DB" w14:textId="77777777" w:rsidR="001176F5" w:rsidRPr="001176F5" w:rsidRDefault="001176F5" w:rsidP="001176F5">
            <w:pPr>
              <w:spacing w:after="0" w:line="480" w:lineRule="auto"/>
              <w:ind w:right="-79"/>
              <w:rPr>
                <w:rFonts w:ascii="Calibri" w:eastAsia="Calibri" w:hAnsi="Calibri" w:cs="Times New Roman"/>
                <w:b/>
                <w:sz w:val="24"/>
                <w:szCs w:val="24"/>
              </w:rPr>
            </w:pPr>
          </w:p>
        </w:tc>
        <w:tc>
          <w:tcPr>
            <w:tcW w:w="4206" w:type="dxa"/>
          </w:tcPr>
          <w:p w14:paraId="631B46D7" w14:textId="5751B66A" w:rsidR="001176F5" w:rsidRPr="001176F5" w:rsidRDefault="001176F5" w:rsidP="001176F5">
            <w:pPr>
              <w:spacing w:after="0" w:line="480" w:lineRule="auto"/>
              <w:ind w:right="-79"/>
              <w:rPr>
                <w:rFonts w:ascii="Calibri" w:eastAsia="Calibri" w:hAnsi="Calibri" w:cs="Times New Roman"/>
                <w:b/>
                <w:sz w:val="24"/>
                <w:szCs w:val="24"/>
              </w:rPr>
            </w:pPr>
          </w:p>
        </w:tc>
      </w:tr>
      <w:tr w:rsidR="001176F5" w:rsidRPr="001176F5" w14:paraId="16D64E9C" w14:textId="77777777" w:rsidTr="00854E55">
        <w:tc>
          <w:tcPr>
            <w:tcW w:w="1134" w:type="dxa"/>
          </w:tcPr>
          <w:p w14:paraId="5A226215" w14:textId="77777777" w:rsidR="001176F5" w:rsidRPr="001176F5" w:rsidRDefault="001176F5" w:rsidP="001176F5">
            <w:pPr>
              <w:spacing w:after="0" w:line="480" w:lineRule="auto"/>
              <w:ind w:right="-79"/>
              <w:rPr>
                <w:rFonts w:ascii="Calibri" w:eastAsia="Calibri" w:hAnsi="Calibri" w:cs="Times New Roman"/>
                <w:b/>
                <w:sz w:val="24"/>
                <w:szCs w:val="24"/>
              </w:rPr>
            </w:pPr>
          </w:p>
        </w:tc>
        <w:tc>
          <w:tcPr>
            <w:tcW w:w="3686" w:type="dxa"/>
          </w:tcPr>
          <w:p w14:paraId="1690C592" w14:textId="77777777" w:rsidR="001176F5" w:rsidRPr="001176F5" w:rsidRDefault="001176F5" w:rsidP="001176F5">
            <w:pPr>
              <w:spacing w:after="0" w:line="480" w:lineRule="auto"/>
              <w:ind w:right="-79"/>
              <w:rPr>
                <w:rFonts w:ascii="Calibri" w:eastAsia="Calibri" w:hAnsi="Calibri" w:cs="Times New Roman"/>
                <w:b/>
                <w:sz w:val="24"/>
                <w:szCs w:val="24"/>
              </w:rPr>
            </w:pPr>
          </w:p>
        </w:tc>
        <w:tc>
          <w:tcPr>
            <w:tcW w:w="4206" w:type="dxa"/>
          </w:tcPr>
          <w:p w14:paraId="7419A4DB" w14:textId="66D86468" w:rsidR="001176F5" w:rsidRPr="001176F5" w:rsidRDefault="001176F5" w:rsidP="001176F5">
            <w:pPr>
              <w:spacing w:after="0" w:line="480" w:lineRule="auto"/>
              <w:ind w:right="-79"/>
              <w:rPr>
                <w:rFonts w:ascii="Calibri" w:eastAsia="Calibri" w:hAnsi="Calibri" w:cs="Times New Roman"/>
                <w:b/>
                <w:sz w:val="24"/>
                <w:szCs w:val="24"/>
              </w:rPr>
            </w:pPr>
          </w:p>
        </w:tc>
      </w:tr>
      <w:tr w:rsidR="001176F5" w:rsidRPr="001176F5" w14:paraId="2D069589" w14:textId="77777777" w:rsidTr="00854E55">
        <w:tc>
          <w:tcPr>
            <w:tcW w:w="1134" w:type="dxa"/>
          </w:tcPr>
          <w:p w14:paraId="369283A0" w14:textId="77777777" w:rsidR="001176F5" w:rsidRPr="001176F5" w:rsidRDefault="001176F5" w:rsidP="001176F5">
            <w:pPr>
              <w:spacing w:after="0" w:line="480" w:lineRule="auto"/>
              <w:ind w:right="-79"/>
              <w:rPr>
                <w:rFonts w:ascii="Calibri" w:eastAsia="Calibri" w:hAnsi="Calibri" w:cs="Times New Roman"/>
                <w:b/>
                <w:sz w:val="24"/>
                <w:szCs w:val="24"/>
              </w:rPr>
            </w:pPr>
          </w:p>
        </w:tc>
        <w:tc>
          <w:tcPr>
            <w:tcW w:w="3686" w:type="dxa"/>
          </w:tcPr>
          <w:p w14:paraId="2FB248DF" w14:textId="77777777" w:rsidR="001176F5" w:rsidRPr="001176F5" w:rsidRDefault="001176F5" w:rsidP="001176F5">
            <w:pPr>
              <w:spacing w:after="0" w:line="480" w:lineRule="auto"/>
              <w:ind w:right="-79"/>
              <w:rPr>
                <w:rFonts w:ascii="Calibri" w:eastAsia="Calibri" w:hAnsi="Calibri" w:cs="Times New Roman"/>
                <w:b/>
                <w:sz w:val="24"/>
                <w:szCs w:val="24"/>
              </w:rPr>
            </w:pPr>
          </w:p>
        </w:tc>
        <w:tc>
          <w:tcPr>
            <w:tcW w:w="4206" w:type="dxa"/>
          </w:tcPr>
          <w:p w14:paraId="2DD05982" w14:textId="4AF83912" w:rsidR="001176F5" w:rsidRPr="001176F5" w:rsidRDefault="001176F5" w:rsidP="001176F5">
            <w:pPr>
              <w:spacing w:after="0" w:line="480" w:lineRule="auto"/>
              <w:ind w:right="-79"/>
              <w:rPr>
                <w:rFonts w:ascii="Calibri" w:eastAsia="Calibri" w:hAnsi="Calibri" w:cs="Times New Roman"/>
                <w:b/>
                <w:sz w:val="24"/>
                <w:szCs w:val="24"/>
              </w:rPr>
            </w:pPr>
          </w:p>
        </w:tc>
      </w:tr>
      <w:tr w:rsidR="001176F5" w:rsidRPr="001176F5" w14:paraId="5C80FE73" w14:textId="77777777" w:rsidTr="00854E55">
        <w:tc>
          <w:tcPr>
            <w:tcW w:w="1134" w:type="dxa"/>
          </w:tcPr>
          <w:p w14:paraId="70A38348" w14:textId="77777777" w:rsidR="001176F5" w:rsidRPr="001176F5" w:rsidRDefault="001176F5" w:rsidP="001176F5">
            <w:pPr>
              <w:spacing w:after="0" w:line="480" w:lineRule="auto"/>
              <w:ind w:right="-79"/>
              <w:rPr>
                <w:rFonts w:ascii="Calibri" w:eastAsia="Calibri" w:hAnsi="Calibri" w:cs="Times New Roman"/>
                <w:b/>
                <w:sz w:val="24"/>
                <w:szCs w:val="24"/>
              </w:rPr>
            </w:pPr>
          </w:p>
        </w:tc>
        <w:tc>
          <w:tcPr>
            <w:tcW w:w="3686" w:type="dxa"/>
          </w:tcPr>
          <w:p w14:paraId="22EEDC1A" w14:textId="77777777" w:rsidR="001176F5" w:rsidRPr="001176F5" w:rsidRDefault="001176F5" w:rsidP="001176F5">
            <w:pPr>
              <w:spacing w:after="0" w:line="480" w:lineRule="auto"/>
              <w:ind w:right="-79"/>
              <w:rPr>
                <w:rFonts w:ascii="Calibri" w:eastAsia="Calibri" w:hAnsi="Calibri" w:cs="Times New Roman"/>
                <w:b/>
                <w:sz w:val="24"/>
                <w:szCs w:val="24"/>
              </w:rPr>
            </w:pPr>
          </w:p>
        </w:tc>
        <w:tc>
          <w:tcPr>
            <w:tcW w:w="4206" w:type="dxa"/>
          </w:tcPr>
          <w:p w14:paraId="4BF04B2E" w14:textId="65A26AFA" w:rsidR="001176F5" w:rsidRPr="001176F5" w:rsidRDefault="001176F5" w:rsidP="001176F5">
            <w:pPr>
              <w:spacing w:after="0" w:line="480" w:lineRule="auto"/>
              <w:ind w:right="-79"/>
              <w:rPr>
                <w:rFonts w:ascii="Calibri" w:eastAsia="Calibri" w:hAnsi="Calibri" w:cs="Times New Roman"/>
                <w:b/>
                <w:sz w:val="24"/>
                <w:szCs w:val="24"/>
              </w:rPr>
            </w:pPr>
          </w:p>
        </w:tc>
      </w:tr>
      <w:tr w:rsidR="001176F5" w:rsidRPr="001176F5" w14:paraId="299319CA" w14:textId="77777777" w:rsidTr="00854E55">
        <w:tc>
          <w:tcPr>
            <w:tcW w:w="1134" w:type="dxa"/>
          </w:tcPr>
          <w:p w14:paraId="5BAE5A57" w14:textId="77777777" w:rsidR="001176F5" w:rsidRPr="001176F5" w:rsidRDefault="001176F5" w:rsidP="001176F5">
            <w:pPr>
              <w:spacing w:after="0" w:line="480" w:lineRule="auto"/>
              <w:ind w:right="-79"/>
              <w:rPr>
                <w:rFonts w:ascii="Calibri" w:eastAsia="Calibri" w:hAnsi="Calibri" w:cs="Times New Roman"/>
                <w:b/>
                <w:sz w:val="24"/>
                <w:szCs w:val="24"/>
              </w:rPr>
            </w:pPr>
          </w:p>
        </w:tc>
        <w:tc>
          <w:tcPr>
            <w:tcW w:w="3686" w:type="dxa"/>
          </w:tcPr>
          <w:p w14:paraId="549DD6CA" w14:textId="77777777" w:rsidR="001176F5" w:rsidRPr="001176F5" w:rsidRDefault="001176F5" w:rsidP="001176F5">
            <w:pPr>
              <w:spacing w:after="0" w:line="480" w:lineRule="auto"/>
              <w:ind w:right="-79"/>
              <w:rPr>
                <w:rFonts w:ascii="Calibri" w:eastAsia="Calibri" w:hAnsi="Calibri" w:cs="Times New Roman"/>
                <w:b/>
                <w:sz w:val="24"/>
                <w:szCs w:val="24"/>
              </w:rPr>
            </w:pPr>
          </w:p>
        </w:tc>
        <w:tc>
          <w:tcPr>
            <w:tcW w:w="4206" w:type="dxa"/>
          </w:tcPr>
          <w:p w14:paraId="4ACCB045" w14:textId="407E9EC6" w:rsidR="001176F5" w:rsidRPr="001176F5" w:rsidRDefault="001176F5" w:rsidP="001176F5">
            <w:pPr>
              <w:spacing w:after="0" w:line="480" w:lineRule="auto"/>
              <w:ind w:right="-79"/>
              <w:rPr>
                <w:rFonts w:ascii="Calibri" w:eastAsia="Calibri" w:hAnsi="Calibri" w:cs="Times New Roman"/>
                <w:b/>
                <w:sz w:val="24"/>
                <w:szCs w:val="24"/>
              </w:rPr>
            </w:pPr>
          </w:p>
        </w:tc>
      </w:tr>
      <w:tr w:rsidR="001176F5" w:rsidRPr="001176F5" w14:paraId="5DA85CDE" w14:textId="77777777" w:rsidTr="00E22CDA">
        <w:tc>
          <w:tcPr>
            <w:tcW w:w="1134" w:type="dxa"/>
            <w:tcBorders>
              <w:bottom w:val="single" w:sz="4" w:space="0" w:color="auto"/>
            </w:tcBorders>
          </w:tcPr>
          <w:p w14:paraId="0B51223E" w14:textId="77777777" w:rsidR="001176F5" w:rsidRPr="001176F5" w:rsidRDefault="001176F5" w:rsidP="001176F5">
            <w:pPr>
              <w:spacing w:after="0" w:line="480" w:lineRule="auto"/>
              <w:ind w:right="-79"/>
              <w:rPr>
                <w:rFonts w:ascii="Calibri" w:eastAsia="Calibri" w:hAnsi="Calibri" w:cs="Times New Roman"/>
                <w:b/>
                <w:sz w:val="24"/>
                <w:szCs w:val="24"/>
              </w:rPr>
            </w:pPr>
          </w:p>
        </w:tc>
        <w:tc>
          <w:tcPr>
            <w:tcW w:w="3686" w:type="dxa"/>
          </w:tcPr>
          <w:p w14:paraId="00DA4A2B" w14:textId="77777777" w:rsidR="001176F5" w:rsidRPr="001176F5" w:rsidRDefault="001176F5" w:rsidP="001176F5">
            <w:pPr>
              <w:spacing w:after="0" w:line="480" w:lineRule="auto"/>
              <w:ind w:right="-79"/>
              <w:rPr>
                <w:rFonts w:ascii="Calibri" w:eastAsia="Calibri" w:hAnsi="Calibri" w:cs="Times New Roman"/>
                <w:b/>
                <w:sz w:val="24"/>
                <w:szCs w:val="24"/>
              </w:rPr>
            </w:pPr>
          </w:p>
        </w:tc>
        <w:tc>
          <w:tcPr>
            <w:tcW w:w="4206" w:type="dxa"/>
          </w:tcPr>
          <w:p w14:paraId="429B5F6B" w14:textId="4645DA73" w:rsidR="001176F5" w:rsidRPr="001176F5" w:rsidRDefault="001176F5" w:rsidP="001176F5">
            <w:pPr>
              <w:spacing w:after="0" w:line="480" w:lineRule="auto"/>
              <w:ind w:right="-79"/>
              <w:rPr>
                <w:rFonts w:ascii="Calibri" w:eastAsia="Calibri" w:hAnsi="Calibri" w:cs="Times New Roman"/>
                <w:b/>
                <w:sz w:val="24"/>
                <w:szCs w:val="24"/>
              </w:rPr>
            </w:pPr>
          </w:p>
        </w:tc>
      </w:tr>
      <w:tr w:rsidR="00E22CDA" w:rsidRPr="001176F5" w14:paraId="123AF0CC" w14:textId="77777777" w:rsidTr="00827412">
        <w:tc>
          <w:tcPr>
            <w:tcW w:w="1134" w:type="dxa"/>
            <w:tcBorders>
              <w:bottom w:val="single" w:sz="4" w:space="0" w:color="auto"/>
            </w:tcBorders>
          </w:tcPr>
          <w:p w14:paraId="7BBB8573" w14:textId="77777777" w:rsidR="00E22CDA" w:rsidRPr="001176F5" w:rsidRDefault="00E22CDA" w:rsidP="001176F5">
            <w:pPr>
              <w:spacing w:after="0" w:line="480" w:lineRule="auto"/>
              <w:ind w:right="-79"/>
              <w:rPr>
                <w:rFonts w:ascii="Calibri" w:eastAsia="Calibri" w:hAnsi="Calibri" w:cs="Times New Roman"/>
                <w:b/>
                <w:sz w:val="24"/>
                <w:szCs w:val="24"/>
              </w:rPr>
            </w:pPr>
          </w:p>
        </w:tc>
        <w:tc>
          <w:tcPr>
            <w:tcW w:w="3686" w:type="dxa"/>
            <w:tcBorders>
              <w:bottom w:val="single" w:sz="4" w:space="0" w:color="auto"/>
            </w:tcBorders>
          </w:tcPr>
          <w:p w14:paraId="63FB8350" w14:textId="77777777" w:rsidR="00E22CDA" w:rsidRPr="001176F5" w:rsidRDefault="00E22CDA" w:rsidP="001176F5">
            <w:pPr>
              <w:spacing w:after="0" w:line="480" w:lineRule="auto"/>
              <w:ind w:right="-79"/>
              <w:rPr>
                <w:rFonts w:ascii="Calibri" w:eastAsia="Calibri" w:hAnsi="Calibri" w:cs="Times New Roman"/>
                <w:b/>
                <w:sz w:val="24"/>
                <w:szCs w:val="24"/>
              </w:rPr>
            </w:pPr>
          </w:p>
        </w:tc>
        <w:tc>
          <w:tcPr>
            <w:tcW w:w="4206" w:type="dxa"/>
            <w:tcBorders>
              <w:bottom w:val="single" w:sz="4" w:space="0" w:color="auto"/>
            </w:tcBorders>
          </w:tcPr>
          <w:p w14:paraId="42E97BB0" w14:textId="77777777" w:rsidR="00E22CDA" w:rsidRPr="001176F5" w:rsidRDefault="00E22CDA" w:rsidP="001176F5">
            <w:pPr>
              <w:spacing w:after="0" w:line="480" w:lineRule="auto"/>
              <w:ind w:right="-79"/>
              <w:rPr>
                <w:rFonts w:ascii="Calibri" w:eastAsia="Calibri" w:hAnsi="Calibri" w:cs="Times New Roman"/>
                <w:b/>
                <w:sz w:val="24"/>
                <w:szCs w:val="24"/>
              </w:rPr>
            </w:pPr>
          </w:p>
        </w:tc>
      </w:tr>
      <w:tr w:rsidR="00E22CDA" w:rsidRPr="001176F5" w14:paraId="6DDB83C7" w14:textId="77777777" w:rsidTr="00827412">
        <w:tc>
          <w:tcPr>
            <w:tcW w:w="1134" w:type="dxa"/>
            <w:tcBorders>
              <w:top w:val="nil"/>
              <w:bottom w:val="nil"/>
              <w:right w:val="nil"/>
            </w:tcBorders>
          </w:tcPr>
          <w:p w14:paraId="58F19236" w14:textId="77777777" w:rsidR="00E22CDA" w:rsidRDefault="00E22CDA" w:rsidP="001176F5">
            <w:pPr>
              <w:spacing w:after="0" w:line="480" w:lineRule="auto"/>
              <w:ind w:right="-79"/>
              <w:rPr>
                <w:rFonts w:ascii="Calibri" w:eastAsia="Calibri" w:hAnsi="Calibri" w:cs="Times New Roman"/>
                <w:b/>
                <w:sz w:val="24"/>
                <w:szCs w:val="24"/>
              </w:rPr>
            </w:pPr>
          </w:p>
          <w:p w14:paraId="46BA86AD" w14:textId="05BDAF0F" w:rsidR="00827412" w:rsidRPr="001176F5" w:rsidRDefault="00827412" w:rsidP="001176F5">
            <w:pPr>
              <w:spacing w:after="0" w:line="480" w:lineRule="auto"/>
              <w:ind w:right="-79"/>
              <w:rPr>
                <w:rFonts w:ascii="Calibri" w:eastAsia="Calibri" w:hAnsi="Calibri" w:cs="Times New Roman"/>
                <w:b/>
                <w:sz w:val="24"/>
                <w:szCs w:val="24"/>
              </w:rPr>
            </w:pPr>
          </w:p>
        </w:tc>
        <w:tc>
          <w:tcPr>
            <w:tcW w:w="3686" w:type="dxa"/>
            <w:tcBorders>
              <w:top w:val="nil"/>
              <w:left w:val="nil"/>
              <w:bottom w:val="nil"/>
              <w:right w:val="nil"/>
            </w:tcBorders>
          </w:tcPr>
          <w:p w14:paraId="7CCD76EE" w14:textId="77777777" w:rsidR="00E22CDA" w:rsidRPr="001176F5" w:rsidRDefault="00E22CDA" w:rsidP="001176F5">
            <w:pPr>
              <w:spacing w:after="0" w:line="480" w:lineRule="auto"/>
              <w:ind w:right="-79"/>
              <w:rPr>
                <w:rFonts w:ascii="Calibri" w:eastAsia="Calibri" w:hAnsi="Calibri" w:cs="Times New Roman"/>
                <w:b/>
                <w:sz w:val="24"/>
                <w:szCs w:val="24"/>
              </w:rPr>
            </w:pPr>
          </w:p>
        </w:tc>
        <w:tc>
          <w:tcPr>
            <w:tcW w:w="4206" w:type="dxa"/>
            <w:tcBorders>
              <w:top w:val="nil"/>
              <w:left w:val="nil"/>
              <w:bottom w:val="nil"/>
            </w:tcBorders>
          </w:tcPr>
          <w:p w14:paraId="715891BA" w14:textId="77777777" w:rsidR="00E22CDA" w:rsidRPr="001176F5" w:rsidRDefault="00E22CDA" w:rsidP="001176F5">
            <w:pPr>
              <w:spacing w:after="0" w:line="480" w:lineRule="auto"/>
              <w:ind w:right="-79"/>
              <w:rPr>
                <w:rFonts w:ascii="Calibri" w:eastAsia="Calibri" w:hAnsi="Calibri" w:cs="Times New Roman"/>
                <w:b/>
                <w:sz w:val="24"/>
                <w:szCs w:val="24"/>
              </w:rPr>
            </w:pPr>
          </w:p>
        </w:tc>
      </w:tr>
      <w:tr w:rsidR="00083BD4" w:rsidRPr="001176F5" w14:paraId="0DEB1A8A" w14:textId="77777777" w:rsidTr="00E22CDA">
        <w:tc>
          <w:tcPr>
            <w:tcW w:w="1134" w:type="dxa"/>
            <w:tcBorders>
              <w:top w:val="nil"/>
            </w:tcBorders>
          </w:tcPr>
          <w:p w14:paraId="509414A9" w14:textId="6C55645D" w:rsidR="00083BD4" w:rsidRPr="00E22CDA" w:rsidRDefault="00E22CDA" w:rsidP="00E22CDA">
            <w:pPr>
              <w:spacing w:after="0" w:line="240" w:lineRule="auto"/>
              <w:ind w:right="-79"/>
              <w:rPr>
                <w:rFonts w:ascii="Arial" w:eastAsia="Calibri" w:hAnsi="Arial" w:cs="Arial"/>
                <w:b/>
                <w:sz w:val="24"/>
                <w:szCs w:val="24"/>
              </w:rPr>
            </w:pPr>
            <w:r>
              <w:rPr>
                <w:rFonts w:ascii="Arial" w:eastAsia="Calibri" w:hAnsi="Arial" w:cs="Arial"/>
                <w:b/>
                <w:sz w:val="24"/>
                <w:szCs w:val="24"/>
              </w:rPr>
              <w:lastRenderedPageBreak/>
              <w:t>Date</w:t>
            </w:r>
          </w:p>
        </w:tc>
        <w:tc>
          <w:tcPr>
            <w:tcW w:w="3686" w:type="dxa"/>
            <w:tcBorders>
              <w:top w:val="nil"/>
            </w:tcBorders>
          </w:tcPr>
          <w:p w14:paraId="5BE97F3E" w14:textId="1157F8B1" w:rsidR="00083BD4" w:rsidRPr="00E22CDA" w:rsidRDefault="00E22CDA" w:rsidP="00E22CDA">
            <w:pPr>
              <w:tabs>
                <w:tab w:val="left" w:pos="1515"/>
              </w:tabs>
              <w:spacing w:after="0" w:line="240" w:lineRule="auto"/>
              <w:ind w:right="-79"/>
              <w:rPr>
                <w:rFonts w:ascii="Arial" w:eastAsia="Calibri" w:hAnsi="Arial" w:cs="Arial"/>
                <w:b/>
                <w:sz w:val="24"/>
                <w:szCs w:val="24"/>
              </w:rPr>
            </w:pPr>
            <w:r>
              <w:rPr>
                <w:rFonts w:ascii="Arial" w:eastAsia="Calibri" w:hAnsi="Arial" w:cs="Arial"/>
                <w:b/>
                <w:sz w:val="24"/>
                <w:szCs w:val="24"/>
              </w:rPr>
              <w:t>Game</w:t>
            </w:r>
          </w:p>
        </w:tc>
        <w:tc>
          <w:tcPr>
            <w:tcW w:w="4206" w:type="dxa"/>
            <w:tcBorders>
              <w:top w:val="nil"/>
            </w:tcBorders>
          </w:tcPr>
          <w:p w14:paraId="27C36449" w14:textId="08B312E8" w:rsidR="00083BD4" w:rsidRPr="00E22CDA" w:rsidRDefault="00E22CDA" w:rsidP="00E22CDA">
            <w:pPr>
              <w:tabs>
                <w:tab w:val="left" w:pos="1515"/>
              </w:tabs>
              <w:spacing w:after="0" w:line="240" w:lineRule="auto"/>
              <w:ind w:right="-79"/>
              <w:rPr>
                <w:rFonts w:ascii="Arial" w:eastAsia="Calibri" w:hAnsi="Arial" w:cs="Arial"/>
                <w:b/>
                <w:sz w:val="24"/>
                <w:szCs w:val="24"/>
              </w:rPr>
            </w:pPr>
            <w:r>
              <w:rPr>
                <w:rFonts w:ascii="Arial" w:eastAsia="Calibri" w:hAnsi="Arial" w:cs="Arial"/>
                <w:b/>
                <w:sz w:val="24"/>
                <w:szCs w:val="24"/>
              </w:rPr>
              <w:t>Opening and closing time</w:t>
            </w:r>
          </w:p>
        </w:tc>
      </w:tr>
      <w:tr w:rsidR="00083BD4" w:rsidRPr="001176F5" w14:paraId="6099E14E" w14:textId="77777777" w:rsidTr="00854E55">
        <w:tc>
          <w:tcPr>
            <w:tcW w:w="1134" w:type="dxa"/>
          </w:tcPr>
          <w:p w14:paraId="566F5199" w14:textId="77777777" w:rsidR="00083BD4" w:rsidRPr="001176F5" w:rsidRDefault="00083BD4" w:rsidP="001176F5">
            <w:pPr>
              <w:spacing w:after="0" w:line="480" w:lineRule="auto"/>
              <w:ind w:right="-79"/>
              <w:rPr>
                <w:rFonts w:ascii="Calibri" w:eastAsia="Calibri" w:hAnsi="Calibri" w:cs="Times New Roman"/>
                <w:b/>
                <w:sz w:val="24"/>
                <w:szCs w:val="24"/>
              </w:rPr>
            </w:pPr>
          </w:p>
        </w:tc>
        <w:tc>
          <w:tcPr>
            <w:tcW w:w="3686" w:type="dxa"/>
          </w:tcPr>
          <w:p w14:paraId="079A4A9B" w14:textId="77777777" w:rsidR="00083BD4" w:rsidRPr="001176F5" w:rsidRDefault="00083BD4" w:rsidP="001176F5">
            <w:pPr>
              <w:tabs>
                <w:tab w:val="left" w:pos="1515"/>
              </w:tabs>
              <w:spacing w:after="0" w:line="480" w:lineRule="auto"/>
              <w:ind w:right="-79"/>
              <w:rPr>
                <w:rFonts w:ascii="Calibri" w:eastAsia="Calibri" w:hAnsi="Calibri" w:cs="Times New Roman"/>
                <w:b/>
                <w:sz w:val="24"/>
                <w:szCs w:val="24"/>
              </w:rPr>
            </w:pPr>
          </w:p>
        </w:tc>
        <w:tc>
          <w:tcPr>
            <w:tcW w:w="4206" w:type="dxa"/>
          </w:tcPr>
          <w:p w14:paraId="452CBEA0" w14:textId="77777777" w:rsidR="00083BD4" w:rsidRPr="001176F5" w:rsidRDefault="00083BD4" w:rsidP="001176F5">
            <w:pPr>
              <w:tabs>
                <w:tab w:val="left" w:pos="1515"/>
              </w:tabs>
              <w:spacing w:after="0" w:line="480" w:lineRule="auto"/>
              <w:ind w:right="-79"/>
              <w:rPr>
                <w:rFonts w:ascii="Calibri" w:eastAsia="Calibri" w:hAnsi="Calibri" w:cs="Times New Roman"/>
                <w:b/>
                <w:sz w:val="24"/>
                <w:szCs w:val="24"/>
              </w:rPr>
            </w:pPr>
          </w:p>
        </w:tc>
      </w:tr>
      <w:tr w:rsidR="00083BD4" w:rsidRPr="001176F5" w14:paraId="1AD86457" w14:textId="77777777" w:rsidTr="00854E55">
        <w:tc>
          <w:tcPr>
            <w:tcW w:w="1134" w:type="dxa"/>
          </w:tcPr>
          <w:p w14:paraId="11DB3AD7" w14:textId="77777777" w:rsidR="00083BD4" w:rsidRPr="001176F5" w:rsidRDefault="00083BD4" w:rsidP="001176F5">
            <w:pPr>
              <w:spacing w:after="0" w:line="480" w:lineRule="auto"/>
              <w:ind w:right="-79"/>
              <w:rPr>
                <w:rFonts w:ascii="Calibri" w:eastAsia="Calibri" w:hAnsi="Calibri" w:cs="Times New Roman"/>
                <w:b/>
                <w:sz w:val="24"/>
                <w:szCs w:val="24"/>
              </w:rPr>
            </w:pPr>
          </w:p>
        </w:tc>
        <w:tc>
          <w:tcPr>
            <w:tcW w:w="3686" w:type="dxa"/>
          </w:tcPr>
          <w:p w14:paraId="226D0839" w14:textId="77777777" w:rsidR="00083BD4" w:rsidRPr="001176F5" w:rsidRDefault="00083BD4" w:rsidP="001176F5">
            <w:pPr>
              <w:tabs>
                <w:tab w:val="left" w:pos="1515"/>
              </w:tabs>
              <w:spacing w:after="0" w:line="480" w:lineRule="auto"/>
              <w:ind w:right="-79"/>
              <w:rPr>
                <w:rFonts w:ascii="Calibri" w:eastAsia="Calibri" w:hAnsi="Calibri" w:cs="Times New Roman"/>
                <w:b/>
                <w:sz w:val="24"/>
                <w:szCs w:val="24"/>
              </w:rPr>
            </w:pPr>
          </w:p>
        </w:tc>
        <w:tc>
          <w:tcPr>
            <w:tcW w:w="4206" w:type="dxa"/>
          </w:tcPr>
          <w:p w14:paraId="4BE13C70" w14:textId="77777777" w:rsidR="00083BD4" w:rsidRPr="001176F5" w:rsidRDefault="00083BD4" w:rsidP="001176F5">
            <w:pPr>
              <w:tabs>
                <w:tab w:val="left" w:pos="1515"/>
              </w:tabs>
              <w:spacing w:after="0" w:line="480" w:lineRule="auto"/>
              <w:ind w:right="-79"/>
              <w:rPr>
                <w:rFonts w:ascii="Calibri" w:eastAsia="Calibri" w:hAnsi="Calibri" w:cs="Times New Roman"/>
                <w:b/>
                <w:sz w:val="24"/>
                <w:szCs w:val="24"/>
              </w:rPr>
            </w:pPr>
          </w:p>
        </w:tc>
      </w:tr>
      <w:tr w:rsidR="00083BD4" w:rsidRPr="001176F5" w14:paraId="3A51C921" w14:textId="77777777" w:rsidTr="00854E55">
        <w:tc>
          <w:tcPr>
            <w:tcW w:w="1134" w:type="dxa"/>
          </w:tcPr>
          <w:p w14:paraId="27DF08E5" w14:textId="77777777" w:rsidR="00083BD4" w:rsidRPr="001176F5" w:rsidRDefault="00083BD4" w:rsidP="001176F5">
            <w:pPr>
              <w:spacing w:after="0" w:line="480" w:lineRule="auto"/>
              <w:ind w:right="-79"/>
              <w:rPr>
                <w:rFonts w:ascii="Calibri" w:eastAsia="Calibri" w:hAnsi="Calibri" w:cs="Times New Roman"/>
                <w:b/>
                <w:sz w:val="24"/>
                <w:szCs w:val="24"/>
              </w:rPr>
            </w:pPr>
          </w:p>
        </w:tc>
        <w:tc>
          <w:tcPr>
            <w:tcW w:w="3686" w:type="dxa"/>
          </w:tcPr>
          <w:p w14:paraId="3264FF2D" w14:textId="77777777" w:rsidR="00083BD4" w:rsidRPr="001176F5" w:rsidRDefault="00083BD4" w:rsidP="001176F5">
            <w:pPr>
              <w:tabs>
                <w:tab w:val="left" w:pos="1515"/>
              </w:tabs>
              <w:spacing w:after="0" w:line="480" w:lineRule="auto"/>
              <w:ind w:right="-79"/>
              <w:rPr>
                <w:rFonts w:ascii="Calibri" w:eastAsia="Calibri" w:hAnsi="Calibri" w:cs="Times New Roman"/>
                <w:b/>
                <w:sz w:val="24"/>
                <w:szCs w:val="24"/>
              </w:rPr>
            </w:pPr>
          </w:p>
        </w:tc>
        <w:tc>
          <w:tcPr>
            <w:tcW w:w="4206" w:type="dxa"/>
          </w:tcPr>
          <w:p w14:paraId="679E2DD9" w14:textId="77777777" w:rsidR="00083BD4" w:rsidRPr="001176F5" w:rsidRDefault="00083BD4" w:rsidP="001176F5">
            <w:pPr>
              <w:tabs>
                <w:tab w:val="left" w:pos="1515"/>
              </w:tabs>
              <w:spacing w:after="0" w:line="480" w:lineRule="auto"/>
              <w:ind w:right="-79"/>
              <w:rPr>
                <w:rFonts w:ascii="Calibri" w:eastAsia="Calibri" w:hAnsi="Calibri" w:cs="Times New Roman"/>
                <w:b/>
                <w:sz w:val="24"/>
                <w:szCs w:val="24"/>
              </w:rPr>
            </w:pPr>
          </w:p>
        </w:tc>
      </w:tr>
      <w:tr w:rsidR="00083BD4" w:rsidRPr="001176F5" w14:paraId="4EE4F0E2" w14:textId="77777777" w:rsidTr="00854E55">
        <w:tc>
          <w:tcPr>
            <w:tcW w:w="1134" w:type="dxa"/>
          </w:tcPr>
          <w:p w14:paraId="29620C2C" w14:textId="77777777" w:rsidR="00083BD4" w:rsidRPr="001176F5" w:rsidRDefault="00083BD4" w:rsidP="001176F5">
            <w:pPr>
              <w:spacing w:after="0" w:line="480" w:lineRule="auto"/>
              <w:ind w:right="-79"/>
              <w:rPr>
                <w:rFonts w:ascii="Calibri" w:eastAsia="Calibri" w:hAnsi="Calibri" w:cs="Times New Roman"/>
                <w:b/>
                <w:sz w:val="24"/>
                <w:szCs w:val="24"/>
              </w:rPr>
            </w:pPr>
          </w:p>
        </w:tc>
        <w:tc>
          <w:tcPr>
            <w:tcW w:w="3686" w:type="dxa"/>
          </w:tcPr>
          <w:p w14:paraId="3179C97B" w14:textId="77777777" w:rsidR="00083BD4" w:rsidRPr="001176F5" w:rsidRDefault="00083BD4" w:rsidP="001176F5">
            <w:pPr>
              <w:tabs>
                <w:tab w:val="left" w:pos="1515"/>
              </w:tabs>
              <w:spacing w:after="0" w:line="480" w:lineRule="auto"/>
              <w:ind w:right="-79"/>
              <w:rPr>
                <w:rFonts w:ascii="Calibri" w:eastAsia="Calibri" w:hAnsi="Calibri" w:cs="Times New Roman"/>
                <w:b/>
                <w:sz w:val="24"/>
                <w:szCs w:val="24"/>
              </w:rPr>
            </w:pPr>
          </w:p>
        </w:tc>
        <w:tc>
          <w:tcPr>
            <w:tcW w:w="4206" w:type="dxa"/>
          </w:tcPr>
          <w:p w14:paraId="283330D4" w14:textId="77777777" w:rsidR="00083BD4" w:rsidRPr="001176F5" w:rsidRDefault="00083BD4" w:rsidP="001176F5">
            <w:pPr>
              <w:tabs>
                <w:tab w:val="left" w:pos="1515"/>
              </w:tabs>
              <w:spacing w:after="0" w:line="480" w:lineRule="auto"/>
              <w:ind w:right="-79"/>
              <w:rPr>
                <w:rFonts w:ascii="Calibri" w:eastAsia="Calibri" w:hAnsi="Calibri" w:cs="Times New Roman"/>
                <w:b/>
                <w:sz w:val="24"/>
                <w:szCs w:val="24"/>
              </w:rPr>
            </w:pPr>
          </w:p>
        </w:tc>
      </w:tr>
      <w:tr w:rsidR="00083BD4" w:rsidRPr="001176F5" w14:paraId="2F513D42" w14:textId="77777777" w:rsidTr="00854E55">
        <w:tc>
          <w:tcPr>
            <w:tcW w:w="1134" w:type="dxa"/>
          </w:tcPr>
          <w:p w14:paraId="2600EB66" w14:textId="77777777" w:rsidR="00083BD4" w:rsidRPr="001176F5" w:rsidRDefault="00083BD4" w:rsidP="001176F5">
            <w:pPr>
              <w:spacing w:after="0" w:line="480" w:lineRule="auto"/>
              <w:ind w:right="-79"/>
              <w:rPr>
                <w:rFonts w:ascii="Calibri" w:eastAsia="Calibri" w:hAnsi="Calibri" w:cs="Times New Roman"/>
                <w:b/>
                <w:sz w:val="24"/>
                <w:szCs w:val="24"/>
              </w:rPr>
            </w:pPr>
          </w:p>
        </w:tc>
        <w:tc>
          <w:tcPr>
            <w:tcW w:w="3686" w:type="dxa"/>
          </w:tcPr>
          <w:p w14:paraId="0C536DBE" w14:textId="77777777" w:rsidR="00083BD4" w:rsidRPr="001176F5" w:rsidRDefault="00083BD4" w:rsidP="001176F5">
            <w:pPr>
              <w:tabs>
                <w:tab w:val="left" w:pos="1515"/>
              </w:tabs>
              <w:spacing w:after="0" w:line="480" w:lineRule="auto"/>
              <w:ind w:right="-79"/>
              <w:rPr>
                <w:rFonts w:ascii="Calibri" w:eastAsia="Calibri" w:hAnsi="Calibri" w:cs="Times New Roman"/>
                <w:b/>
                <w:sz w:val="24"/>
                <w:szCs w:val="24"/>
              </w:rPr>
            </w:pPr>
          </w:p>
        </w:tc>
        <w:tc>
          <w:tcPr>
            <w:tcW w:w="4206" w:type="dxa"/>
          </w:tcPr>
          <w:p w14:paraId="77A5D109" w14:textId="77777777" w:rsidR="00083BD4" w:rsidRPr="001176F5" w:rsidRDefault="00083BD4" w:rsidP="001176F5">
            <w:pPr>
              <w:tabs>
                <w:tab w:val="left" w:pos="1515"/>
              </w:tabs>
              <w:spacing w:after="0" w:line="480" w:lineRule="auto"/>
              <w:ind w:right="-79"/>
              <w:rPr>
                <w:rFonts w:ascii="Calibri" w:eastAsia="Calibri" w:hAnsi="Calibri" w:cs="Times New Roman"/>
                <w:b/>
                <w:sz w:val="24"/>
                <w:szCs w:val="24"/>
              </w:rPr>
            </w:pPr>
          </w:p>
        </w:tc>
      </w:tr>
      <w:tr w:rsidR="00083BD4" w:rsidRPr="001176F5" w14:paraId="228D15F1" w14:textId="77777777" w:rsidTr="00854E55">
        <w:tc>
          <w:tcPr>
            <w:tcW w:w="1134" w:type="dxa"/>
          </w:tcPr>
          <w:p w14:paraId="45E507D8" w14:textId="77777777" w:rsidR="00083BD4" w:rsidRPr="001176F5" w:rsidRDefault="00083BD4" w:rsidP="001176F5">
            <w:pPr>
              <w:spacing w:after="0" w:line="480" w:lineRule="auto"/>
              <w:ind w:right="-79"/>
              <w:rPr>
                <w:rFonts w:ascii="Calibri" w:eastAsia="Calibri" w:hAnsi="Calibri" w:cs="Times New Roman"/>
                <w:b/>
                <w:sz w:val="24"/>
                <w:szCs w:val="24"/>
              </w:rPr>
            </w:pPr>
          </w:p>
        </w:tc>
        <w:tc>
          <w:tcPr>
            <w:tcW w:w="3686" w:type="dxa"/>
          </w:tcPr>
          <w:p w14:paraId="7E6AD30A" w14:textId="77777777" w:rsidR="00083BD4" w:rsidRPr="001176F5" w:rsidRDefault="00083BD4" w:rsidP="001176F5">
            <w:pPr>
              <w:tabs>
                <w:tab w:val="left" w:pos="1515"/>
              </w:tabs>
              <w:spacing w:after="0" w:line="480" w:lineRule="auto"/>
              <w:ind w:right="-79"/>
              <w:rPr>
                <w:rFonts w:ascii="Calibri" w:eastAsia="Calibri" w:hAnsi="Calibri" w:cs="Times New Roman"/>
                <w:b/>
                <w:sz w:val="24"/>
                <w:szCs w:val="24"/>
              </w:rPr>
            </w:pPr>
          </w:p>
        </w:tc>
        <w:tc>
          <w:tcPr>
            <w:tcW w:w="4206" w:type="dxa"/>
          </w:tcPr>
          <w:p w14:paraId="632F2436" w14:textId="77777777" w:rsidR="00083BD4" w:rsidRPr="001176F5" w:rsidRDefault="00083BD4" w:rsidP="001176F5">
            <w:pPr>
              <w:tabs>
                <w:tab w:val="left" w:pos="1515"/>
              </w:tabs>
              <w:spacing w:after="0" w:line="480" w:lineRule="auto"/>
              <w:ind w:right="-79"/>
              <w:rPr>
                <w:rFonts w:ascii="Calibri" w:eastAsia="Calibri" w:hAnsi="Calibri" w:cs="Times New Roman"/>
                <w:b/>
                <w:sz w:val="24"/>
                <w:szCs w:val="24"/>
              </w:rPr>
            </w:pPr>
          </w:p>
        </w:tc>
      </w:tr>
      <w:tr w:rsidR="00083BD4" w:rsidRPr="001176F5" w14:paraId="1D9BA6C2" w14:textId="77777777" w:rsidTr="00854E55">
        <w:tc>
          <w:tcPr>
            <w:tcW w:w="1134" w:type="dxa"/>
          </w:tcPr>
          <w:p w14:paraId="68BAF2F6" w14:textId="77777777" w:rsidR="00083BD4" w:rsidRPr="001176F5" w:rsidRDefault="00083BD4" w:rsidP="001176F5">
            <w:pPr>
              <w:spacing w:after="0" w:line="480" w:lineRule="auto"/>
              <w:ind w:right="-79"/>
              <w:rPr>
                <w:rFonts w:ascii="Calibri" w:eastAsia="Calibri" w:hAnsi="Calibri" w:cs="Times New Roman"/>
                <w:b/>
                <w:sz w:val="24"/>
                <w:szCs w:val="24"/>
              </w:rPr>
            </w:pPr>
          </w:p>
        </w:tc>
        <w:tc>
          <w:tcPr>
            <w:tcW w:w="3686" w:type="dxa"/>
          </w:tcPr>
          <w:p w14:paraId="6707C8C4" w14:textId="77777777" w:rsidR="00083BD4" w:rsidRPr="001176F5" w:rsidRDefault="00083BD4" w:rsidP="001176F5">
            <w:pPr>
              <w:tabs>
                <w:tab w:val="left" w:pos="1515"/>
              </w:tabs>
              <w:spacing w:after="0" w:line="480" w:lineRule="auto"/>
              <w:ind w:right="-79"/>
              <w:rPr>
                <w:rFonts w:ascii="Calibri" w:eastAsia="Calibri" w:hAnsi="Calibri" w:cs="Times New Roman"/>
                <w:b/>
                <w:sz w:val="24"/>
                <w:szCs w:val="24"/>
              </w:rPr>
            </w:pPr>
          </w:p>
        </w:tc>
        <w:tc>
          <w:tcPr>
            <w:tcW w:w="4206" w:type="dxa"/>
          </w:tcPr>
          <w:p w14:paraId="30ADFBA5" w14:textId="77777777" w:rsidR="00083BD4" w:rsidRPr="001176F5" w:rsidRDefault="00083BD4" w:rsidP="001176F5">
            <w:pPr>
              <w:tabs>
                <w:tab w:val="left" w:pos="1515"/>
              </w:tabs>
              <w:spacing w:after="0" w:line="480" w:lineRule="auto"/>
              <w:ind w:right="-79"/>
              <w:rPr>
                <w:rFonts w:ascii="Calibri" w:eastAsia="Calibri" w:hAnsi="Calibri" w:cs="Times New Roman"/>
                <w:b/>
                <w:sz w:val="24"/>
                <w:szCs w:val="24"/>
              </w:rPr>
            </w:pPr>
          </w:p>
        </w:tc>
      </w:tr>
      <w:tr w:rsidR="00083BD4" w:rsidRPr="001176F5" w14:paraId="2D88A426" w14:textId="77777777" w:rsidTr="00854E55">
        <w:tc>
          <w:tcPr>
            <w:tcW w:w="1134" w:type="dxa"/>
          </w:tcPr>
          <w:p w14:paraId="7F0B3E7B" w14:textId="77777777" w:rsidR="00083BD4" w:rsidRPr="001176F5" w:rsidRDefault="00083BD4" w:rsidP="001176F5">
            <w:pPr>
              <w:spacing w:after="0" w:line="480" w:lineRule="auto"/>
              <w:ind w:right="-79"/>
              <w:rPr>
                <w:rFonts w:ascii="Calibri" w:eastAsia="Calibri" w:hAnsi="Calibri" w:cs="Times New Roman"/>
                <w:b/>
                <w:sz w:val="24"/>
                <w:szCs w:val="24"/>
              </w:rPr>
            </w:pPr>
          </w:p>
        </w:tc>
        <w:tc>
          <w:tcPr>
            <w:tcW w:w="3686" w:type="dxa"/>
          </w:tcPr>
          <w:p w14:paraId="6D68E706" w14:textId="77777777" w:rsidR="00083BD4" w:rsidRPr="001176F5" w:rsidRDefault="00083BD4" w:rsidP="001176F5">
            <w:pPr>
              <w:tabs>
                <w:tab w:val="left" w:pos="1515"/>
              </w:tabs>
              <w:spacing w:after="0" w:line="480" w:lineRule="auto"/>
              <w:ind w:right="-79"/>
              <w:rPr>
                <w:rFonts w:ascii="Calibri" w:eastAsia="Calibri" w:hAnsi="Calibri" w:cs="Times New Roman"/>
                <w:b/>
                <w:sz w:val="24"/>
                <w:szCs w:val="24"/>
              </w:rPr>
            </w:pPr>
          </w:p>
        </w:tc>
        <w:tc>
          <w:tcPr>
            <w:tcW w:w="4206" w:type="dxa"/>
          </w:tcPr>
          <w:p w14:paraId="6C73B236" w14:textId="77777777" w:rsidR="00083BD4" w:rsidRPr="001176F5" w:rsidRDefault="00083BD4" w:rsidP="001176F5">
            <w:pPr>
              <w:tabs>
                <w:tab w:val="left" w:pos="1515"/>
              </w:tabs>
              <w:spacing w:after="0" w:line="480" w:lineRule="auto"/>
              <w:ind w:right="-79"/>
              <w:rPr>
                <w:rFonts w:ascii="Calibri" w:eastAsia="Calibri" w:hAnsi="Calibri" w:cs="Times New Roman"/>
                <w:b/>
                <w:sz w:val="24"/>
                <w:szCs w:val="24"/>
              </w:rPr>
            </w:pPr>
          </w:p>
        </w:tc>
      </w:tr>
      <w:tr w:rsidR="00083BD4" w:rsidRPr="001176F5" w14:paraId="1B3D7E79" w14:textId="77777777" w:rsidTr="00854E55">
        <w:tc>
          <w:tcPr>
            <w:tcW w:w="1134" w:type="dxa"/>
          </w:tcPr>
          <w:p w14:paraId="3C536E71" w14:textId="77777777" w:rsidR="00083BD4" w:rsidRPr="001176F5" w:rsidRDefault="00083BD4" w:rsidP="001176F5">
            <w:pPr>
              <w:spacing w:after="0" w:line="480" w:lineRule="auto"/>
              <w:ind w:right="-79"/>
              <w:rPr>
                <w:rFonts w:ascii="Calibri" w:eastAsia="Calibri" w:hAnsi="Calibri" w:cs="Times New Roman"/>
                <w:b/>
                <w:sz w:val="24"/>
                <w:szCs w:val="24"/>
              </w:rPr>
            </w:pPr>
          </w:p>
        </w:tc>
        <w:tc>
          <w:tcPr>
            <w:tcW w:w="3686" w:type="dxa"/>
          </w:tcPr>
          <w:p w14:paraId="67C0A88F" w14:textId="77777777" w:rsidR="00083BD4" w:rsidRPr="001176F5" w:rsidRDefault="00083BD4" w:rsidP="001176F5">
            <w:pPr>
              <w:tabs>
                <w:tab w:val="left" w:pos="1515"/>
              </w:tabs>
              <w:spacing w:after="0" w:line="480" w:lineRule="auto"/>
              <w:ind w:right="-79"/>
              <w:rPr>
                <w:rFonts w:ascii="Calibri" w:eastAsia="Calibri" w:hAnsi="Calibri" w:cs="Times New Roman"/>
                <w:b/>
                <w:sz w:val="24"/>
                <w:szCs w:val="24"/>
              </w:rPr>
            </w:pPr>
          </w:p>
        </w:tc>
        <w:tc>
          <w:tcPr>
            <w:tcW w:w="4206" w:type="dxa"/>
          </w:tcPr>
          <w:p w14:paraId="650F690A" w14:textId="77777777" w:rsidR="00083BD4" w:rsidRPr="001176F5" w:rsidRDefault="00083BD4" w:rsidP="001176F5">
            <w:pPr>
              <w:tabs>
                <w:tab w:val="left" w:pos="1515"/>
              </w:tabs>
              <w:spacing w:after="0" w:line="480" w:lineRule="auto"/>
              <w:ind w:right="-79"/>
              <w:rPr>
                <w:rFonts w:ascii="Calibri" w:eastAsia="Calibri" w:hAnsi="Calibri" w:cs="Times New Roman"/>
                <w:b/>
                <w:sz w:val="24"/>
                <w:szCs w:val="24"/>
              </w:rPr>
            </w:pPr>
          </w:p>
        </w:tc>
      </w:tr>
      <w:tr w:rsidR="00083BD4" w:rsidRPr="001176F5" w14:paraId="6EA9869E" w14:textId="77777777" w:rsidTr="00854E55">
        <w:tc>
          <w:tcPr>
            <w:tcW w:w="1134" w:type="dxa"/>
          </w:tcPr>
          <w:p w14:paraId="13DFA6EF" w14:textId="77777777" w:rsidR="00083BD4" w:rsidRPr="001176F5" w:rsidRDefault="00083BD4" w:rsidP="001176F5">
            <w:pPr>
              <w:spacing w:after="0" w:line="480" w:lineRule="auto"/>
              <w:ind w:right="-79"/>
              <w:rPr>
                <w:rFonts w:ascii="Calibri" w:eastAsia="Calibri" w:hAnsi="Calibri" w:cs="Times New Roman"/>
                <w:b/>
                <w:sz w:val="24"/>
                <w:szCs w:val="24"/>
              </w:rPr>
            </w:pPr>
          </w:p>
        </w:tc>
        <w:tc>
          <w:tcPr>
            <w:tcW w:w="3686" w:type="dxa"/>
          </w:tcPr>
          <w:p w14:paraId="0613DE71" w14:textId="77777777" w:rsidR="00083BD4" w:rsidRPr="001176F5" w:rsidRDefault="00083BD4" w:rsidP="001176F5">
            <w:pPr>
              <w:tabs>
                <w:tab w:val="left" w:pos="1515"/>
              </w:tabs>
              <w:spacing w:after="0" w:line="480" w:lineRule="auto"/>
              <w:ind w:right="-79"/>
              <w:rPr>
                <w:rFonts w:ascii="Calibri" w:eastAsia="Calibri" w:hAnsi="Calibri" w:cs="Times New Roman"/>
                <w:b/>
                <w:sz w:val="24"/>
                <w:szCs w:val="24"/>
              </w:rPr>
            </w:pPr>
          </w:p>
        </w:tc>
        <w:tc>
          <w:tcPr>
            <w:tcW w:w="4206" w:type="dxa"/>
          </w:tcPr>
          <w:p w14:paraId="434950B2" w14:textId="77777777" w:rsidR="00083BD4" w:rsidRPr="001176F5" w:rsidRDefault="00083BD4" w:rsidP="001176F5">
            <w:pPr>
              <w:tabs>
                <w:tab w:val="left" w:pos="1515"/>
              </w:tabs>
              <w:spacing w:after="0" w:line="480" w:lineRule="auto"/>
              <w:ind w:right="-79"/>
              <w:rPr>
                <w:rFonts w:ascii="Calibri" w:eastAsia="Calibri" w:hAnsi="Calibri" w:cs="Times New Roman"/>
                <w:b/>
                <w:sz w:val="24"/>
                <w:szCs w:val="24"/>
              </w:rPr>
            </w:pPr>
          </w:p>
        </w:tc>
      </w:tr>
      <w:tr w:rsidR="00AE45EC" w:rsidRPr="001176F5" w14:paraId="3A80AE87" w14:textId="77777777" w:rsidTr="00854E55">
        <w:tc>
          <w:tcPr>
            <w:tcW w:w="1134" w:type="dxa"/>
          </w:tcPr>
          <w:p w14:paraId="5964E6B4" w14:textId="77777777" w:rsidR="00AE45EC" w:rsidRPr="001176F5" w:rsidRDefault="00AE45EC" w:rsidP="001176F5">
            <w:pPr>
              <w:spacing w:after="0" w:line="480" w:lineRule="auto"/>
              <w:ind w:right="-79"/>
              <w:rPr>
                <w:rFonts w:ascii="Calibri" w:eastAsia="Calibri" w:hAnsi="Calibri" w:cs="Times New Roman"/>
                <w:b/>
                <w:sz w:val="24"/>
                <w:szCs w:val="24"/>
              </w:rPr>
            </w:pPr>
          </w:p>
        </w:tc>
        <w:tc>
          <w:tcPr>
            <w:tcW w:w="3686" w:type="dxa"/>
          </w:tcPr>
          <w:p w14:paraId="0EF365CE" w14:textId="77777777" w:rsidR="00AE45EC" w:rsidRPr="001176F5" w:rsidRDefault="00AE45EC" w:rsidP="001176F5">
            <w:pPr>
              <w:tabs>
                <w:tab w:val="left" w:pos="1515"/>
              </w:tabs>
              <w:spacing w:after="0" w:line="480" w:lineRule="auto"/>
              <w:ind w:right="-79"/>
              <w:rPr>
                <w:rFonts w:ascii="Calibri" w:eastAsia="Calibri" w:hAnsi="Calibri" w:cs="Times New Roman"/>
                <w:b/>
                <w:sz w:val="24"/>
                <w:szCs w:val="24"/>
              </w:rPr>
            </w:pPr>
          </w:p>
        </w:tc>
        <w:tc>
          <w:tcPr>
            <w:tcW w:w="4206" w:type="dxa"/>
          </w:tcPr>
          <w:p w14:paraId="2A953E38" w14:textId="77777777" w:rsidR="00AE45EC" w:rsidRPr="001176F5" w:rsidRDefault="00AE45EC" w:rsidP="001176F5">
            <w:pPr>
              <w:tabs>
                <w:tab w:val="left" w:pos="1515"/>
              </w:tabs>
              <w:spacing w:after="0" w:line="480" w:lineRule="auto"/>
              <w:ind w:right="-79"/>
              <w:rPr>
                <w:rFonts w:ascii="Calibri" w:eastAsia="Calibri" w:hAnsi="Calibri" w:cs="Times New Roman"/>
                <w:b/>
                <w:sz w:val="24"/>
                <w:szCs w:val="24"/>
              </w:rPr>
            </w:pPr>
          </w:p>
        </w:tc>
      </w:tr>
      <w:tr w:rsidR="00AE45EC" w:rsidRPr="001176F5" w14:paraId="1AA98405" w14:textId="77777777" w:rsidTr="00854E55">
        <w:tc>
          <w:tcPr>
            <w:tcW w:w="1134" w:type="dxa"/>
          </w:tcPr>
          <w:p w14:paraId="7588E59D" w14:textId="77777777" w:rsidR="00AE45EC" w:rsidRPr="001176F5" w:rsidRDefault="00AE45EC" w:rsidP="001176F5">
            <w:pPr>
              <w:spacing w:after="0" w:line="480" w:lineRule="auto"/>
              <w:ind w:right="-79"/>
              <w:rPr>
                <w:rFonts w:ascii="Calibri" w:eastAsia="Calibri" w:hAnsi="Calibri" w:cs="Times New Roman"/>
                <w:b/>
                <w:sz w:val="24"/>
                <w:szCs w:val="24"/>
              </w:rPr>
            </w:pPr>
          </w:p>
        </w:tc>
        <w:tc>
          <w:tcPr>
            <w:tcW w:w="3686" w:type="dxa"/>
          </w:tcPr>
          <w:p w14:paraId="1FDDBED5" w14:textId="77777777" w:rsidR="00AE45EC" w:rsidRPr="001176F5" w:rsidRDefault="00AE45EC" w:rsidP="001176F5">
            <w:pPr>
              <w:tabs>
                <w:tab w:val="left" w:pos="1515"/>
              </w:tabs>
              <w:spacing w:after="0" w:line="480" w:lineRule="auto"/>
              <w:ind w:right="-79"/>
              <w:rPr>
                <w:rFonts w:ascii="Calibri" w:eastAsia="Calibri" w:hAnsi="Calibri" w:cs="Times New Roman"/>
                <w:b/>
                <w:sz w:val="24"/>
                <w:szCs w:val="24"/>
              </w:rPr>
            </w:pPr>
          </w:p>
        </w:tc>
        <w:tc>
          <w:tcPr>
            <w:tcW w:w="4206" w:type="dxa"/>
          </w:tcPr>
          <w:p w14:paraId="18EEC287" w14:textId="77777777" w:rsidR="00AE45EC" w:rsidRPr="001176F5" w:rsidRDefault="00AE45EC" w:rsidP="001176F5">
            <w:pPr>
              <w:tabs>
                <w:tab w:val="left" w:pos="1515"/>
              </w:tabs>
              <w:spacing w:after="0" w:line="480" w:lineRule="auto"/>
              <w:ind w:right="-79"/>
              <w:rPr>
                <w:rFonts w:ascii="Calibri" w:eastAsia="Calibri" w:hAnsi="Calibri" w:cs="Times New Roman"/>
                <w:b/>
                <w:sz w:val="24"/>
                <w:szCs w:val="24"/>
              </w:rPr>
            </w:pPr>
          </w:p>
        </w:tc>
      </w:tr>
      <w:tr w:rsidR="00AE45EC" w:rsidRPr="001176F5" w14:paraId="579C82C5" w14:textId="77777777" w:rsidTr="00854E55">
        <w:tc>
          <w:tcPr>
            <w:tcW w:w="1134" w:type="dxa"/>
          </w:tcPr>
          <w:p w14:paraId="7F6D5A3F" w14:textId="77777777" w:rsidR="00AE45EC" w:rsidRPr="001176F5" w:rsidRDefault="00AE45EC" w:rsidP="001176F5">
            <w:pPr>
              <w:spacing w:after="0" w:line="480" w:lineRule="auto"/>
              <w:ind w:right="-79"/>
              <w:rPr>
                <w:rFonts w:ascii="Calibri" w:eastAsia="Calibri" w:hAnsi="Calibri" w:cs="Times New Roman"/>
                <w:b/>
                <w:sz w:val="24"/>
                <w:szCs w:val="24"/>
              </w:rPr>
            </w:pPr>
          </w:p>
        </w:tc>
        <w:tc>
          <w:tcPr>
            <w:tcW w:w="3686" w:type="dxa"/>
          </w:tcPr>
          <w:p w14:paraId="212C21BE" w14:textId="77777777" w:rsidR="00AE45EC" w:rsidRPr="001176F5" w:rsidRDefault="00AE45EC" w:rsidP="001176F5">
            <w:pPr>
              <w:tabs>
                <w:tab w:val="left" w:pos="1515"/>
              </w:tabs>
              <w:spacing w:after="0" w:line="480" w:lineRule="auto"/>
              <w:ind w:right="-79"/>
              <w:rPr>
                <w:rFonts w:ascii="Calibri" w:eastAsia="Calibri" w:hAnsi="Calibri" w:cs="Times New Roman"/>
                <w:b/>
                <w:sz w:val="24"/>
                <w:szCs w:val="24"/>
              </w:rPr>
            </w:pPr>
          </w:p>
        </w:tc>
        <w:tc>
          <w:tcPr>
            <w:tcW w:w="4206" w:type="dxa"/>
          </w:tcPr>
          <w:p w14:paraId="35173D6E" w14:textId="77777777" w:rsidR="00AE45EC" w:rsidRPr="001176F5" w:rsidRDefault="00AE45EC" w:rsidP="001176F5">
            <w:pPr>
              <w:tabs>
                <w:tab w:val="left" w:pos="1515"/>
              </w:tabs>
              <w:spacing w:after="0" w:line="480" w:lineRule="auto"/>
              <w:ind w:right="-79"/>
              <w:rPr>
                <w:rFonts w:ascii="Calibri" w:eastAsia="Calibri" w:hAnsi="Calibri" w:cs="Times New Roman"/>
                <w:b/>
                <w:sz w:val="24"/>
                <w:szCs w:val="24"/>
              </w:rPr>
            </w:pPr>
          </w:p>
        </w:tc>
      </w:tr>
      <w:tr w:rsidR="00274173" w:rsidRPr="001176F5" w14:paraId="5207EF86" w14:textId="77777777" w:rsidTr="00854E55">
        <w:tc>
          <w:tcPr>
            <w:tcW w:w="1134" w:type="dxa"/>
          </w:tcPr>
          <w:p w14:paraId="70553BFF" w14:textId="77777777" w:rsidR="00274173" w:rsidRPr="001176F5" w:rsidRDefault="00274173" w:rsidP="001176F5">
            <w:pPr>
              <w:spacing w:after="0" w:line="480" w:lineRule="auto"/>
              <w:ind w:right="-79"/>
              <w:rPr>
                <w:rFonts w:ascii="Calibri" w:eastAsia="Calibri" w:hAnsi="Calibri" w:cs="Times New Roman"/>
                <w:b/>
                <w:sz w:val="24"/>
                <w:szCs w:val="24"/>
              </w:rPr>
            </w:pPr>
          </w:p>
        </w:tc>
        <w:tc>
          <w:tcPr>
            <w:tcW w:w="3686" w:type="dxa"/>
          </w:tcPr>
          <w:p w14:paraId="10EB9296" w14:textId="77777777" w:rsidR="00274173" w:rsidRPr="001176F5" w:rsidRDefault="00274173" w:rsidP="001176F5">
            <w:pPr>
              <w:tabs>
                <w:tab w:val="left" w:pos="1515"/>
              </w:tabs>
              <w:spacing w:after="0" w:line="480" w:lineRule="auto"/>
              <w:ind w:right="-79"/>
              <w:rPr>
                <w:rFonts w:ascii="Calibri" w:eastAsia="Calibri" w:hAnsi="Calibri" w:cs="Times New Roman"/>
                <w:b/>
                <w:sz w:val="24"/>
                <w:szCs w:val="24"/>
              </w:rPr>
            </w:pPr>
          </w:p>
        </w:tc>
        <w:tc>
          <w:tcPr>
            <w:tcW w:w="4206" w:type="dxa"/>
          </w:tcPr>
          <w:p w14:paraId="38633C2A" w14:textId="77777777" w:rsidR="00274173" w:rsidRPr="001176F5" w:rsidRDefault="00274173" w:rsidP="001176F5">
            <w:pPr>
              <w:tabs>
                <w:tab w:val="left" w:pos="1515"/>
              </w:tabs>
              <w:spacing w:after="0" w:line="480" w:lineRule="auto"/>
              <w:ind w:right="-79"/>
              <w:rPr>
                <w:rFonts w:ascii="Calibri" w:eastAsia="Calibri" w:hAnsi="Calibri" w:cs="Times New Roman"/>
                <w:b/>
                <w:sz w:val="24"/>
                <w:szCs w:val="24"/>
              </w:rPr>
            </w:pPr>
          </w:p>
        </w:tc>
      </w:tr>
      <w:tr w:rsidR="00274173" w:rsidRPr="001176F5" w14:paraId="2C055152" w14:textId="77777777" w:rsidTr="00854E55">
        <w:tc>
          <w:tcPr>
            <w:tcW w:w="1134" w:type="dxa"/>
          </w:tcPr>
          <w:p w14:paraId="3AF59BBC" w14:textId="77777777" w:rsidR="00274173" w:rsidRPr="001176F5" w:rsidRDefault="00274173" w:rsidP="001176F5">
            <w:pPr>
              <w:spacing w:after="0" w:line="480" w:lineRule="auto"/>
              <w:ind w:right="-79"/>
              <w:rPr>
                <w:rFonts w:ascii="Calibri" w:eastAsia="Calibri" w:hAnsi="Calibri" w:cs="Times New Roman"/>
                <w:b/>
                <w:sz w:val="24"/>
                <w:szCs w:val="24"/>
              </w:rPr>
            </w:pPr>
          </w:p>
        </w:tc>
        <w:tc>
          <w:tcPr>
            <w:tcW w:w="3686" w:type="dxa"/>
          </w:tcPr>
          <w:p w14:paraId="7B644EFD" w14:textId="77777777" w:rsidR="00274173" w:rsidRPr="001176F5" w:rsidRDefault="00274173" w:rsidP="001176F5">
            <w:pPr>
              <w:tabs>
                <w:tab w:val="left" w:pos="1515"/>
              </w:tabs>
              <w:spacing w:after="0" w:line="480" w:lineRule="auto"/>
              <w:ind w:right="-79"/>
              <w:rPr>
                <w:rFonts w:ascii="Calibri" w:eastAsia="Calibri" w:hAnsi="Calibri" w:cs="Times New Roman"/>
                <w:b/>
                <w:sz w:val="24"/>
                <w:szCs w:val="24"/>
              </w:rPr>
            </w:pPr>
          </w:p>
        </w:tc>
        <w:tc>
          <w:tcPr>
            <w:tcW w:w="4206" w:type="dxa"/>
          </w:tcPr>
          <w:p w14:paraId="52373BFE" w14:textId="77777777" w:rsidR="00274173" w:rsidRPr="001176F5" w:rsidRDefault="00274173" w:rsidP="001176F5">
            <w:pPr>
              <w:tabs>
                <w:tab w:val="left" w:pos="1515"/>
              </w:tabs>
              <w:spacing w:after="0" w:line="480" w:lineRule="auto"/>
              <w:ind w:right="-79"/>
              <w:rPr>
                <w:rFonts w:ascii="Calibri" w:eastAsia="Calibri" w:hAnsi="Calibri" w:cs="Times New Roman"/>
                <w:b/>
                <w:sz w:val="24"/>
                <w:szCs w:val="24"/>
              </w:rPr>
            </w:pPr>
          </w:p>
        </w:tc>
      </w:tr>
      <w:tr w:rsidR="00274173" w:rsidRPr="001176F5" w14:paraId="78C9546F" w14:textId="77777777" w:rsidTr="00854E55">
        <w:tc>
          <w:tcPr>
            <w:tcW w:w="1134" w:type="dxa"/>
          </w:tcPr>
          <w:p w14:paraId="76B4C0E1" w14:textId="77777777" w:rsidR="00274173" w:rsidRPr="001176F5" w:rsidRDefault="00274173" w:rsidP="001176F5">
            <w:pPr>
              <w:spacing w:after="0" w:line="480" w:lineRule="auto"/>
              <w:ind w:right="-79"/>
              <w:rPr>
                <w:rFonts w:ascii="Calibri" w:eastAsia="Calibri" w:hAnsi="Calibri" w:cs="Times New Roman"/>
                <w:b/>
                <w:sz w:val="24"/>
                <w:szCs w:val="24"/>
              </w:rPr>
            </w:pPr>
          </w:p>
        </w:tc>
        <w:tc>
          <w:tcPr>
            <w:tcW w:w="3686" w:type="dxa"/>
          </w:tcPr>
          <w:p w14:paraId="0F586716" w14:textId="77777777" w:rsidR="00274173" w:rsidRPr="001176F5" w:rsidRDefault="00274173" w:rsidP="001176F5">
            <w:pPr>
              <w:tabs>
                <w:tab w:val="left" w:pos="1515"/>
              </w:tabs>
              <w:spacing w:after="0" w:line="480" w:lineRule="auto"/>
              <w:ind w:right="-79"/>
              <w:rPr>
                <w:rFonts w:ascii="Calibri" w:eastAsia="Calibri" w:hAnsi="Calibri" w:cs="Times New Roman"/>
                <w:b/>
                <w:sz w:val="24"/>
                <w:szCs w:val="24"/>
              </w:rPr>
            </w:pPr>
          </w:p>
        </w:tc>
        <w:tc>
          <w:tcPr>
            <w:tcW w:w="4206" w:type="dxa"/>
          </w:tcPr>
          <w:p w14:paraId="4D776778" w14:textId="77777777" w:rsidR="00274173" w:rsidRPr="001176F5" w:rsidRDefault="00274173" w:rsidP="001176F5">
            <w:pPr>
              <w:tabs>
                <w:tab w:val="left" w:pos="1515"/>
              </w:tabs>
              <w:spacing w:after="0" w:line="480" w:lineRule="auto"/>
              <w:ind w:right="-79"/>
              <w:rPr>
                <w:rFonts w:ascii="Calibri" w:eastAsia="Calibri" w:hAnsi="Calibri" w:cs="Times New Roman"/>
                <w:b/>
                <w:sz w:val="24"/>
                <w:szCs w:val="24"/>
              </w:rPr>
            </w:pPr>
          </w:p>
        </w:tc>
      </w:tr>
      <w:tr w:rsidR="00274173" w:rsidRPr="001176F5" w14:paraId="1E0F77A8" w14:textId="77777777" w:rsidTr="00854E55">
        <w:tc>
          <w:tcPr>
            <w:tcW w:w="1134" w:type="dxa"/>
          </w:tcPr>
          <w:p w14:paraId="2701632E" w14:textId="77777777" w:rsidR="00274173" w:rsidRPr="001176F5" w:rsidRDefault="00274173" w:rsidP="001176F5">
            <w:pPr>
              <w:spacing w:after="0" w:line="480" w:lineRule="auto"/>
              <w:ind w:right="-79"/>
              <w:rPr>
                <w:rFonts w:ascii="Calibri" w:eastAsia="Calibri" w:hAnsi="Calibri" w:cs="Times New Roman"/>
                <w:b/>
                <w:sz w:val="24"/>
                <w:szCs w:val="24"/>
              </w:rPr>
            </w:pPr>
          </w:p>
        </w:tc>
        <w:tc>
          <w:tcPr>
            <w:tcW w:w="3686" w:type="dxa"/>
          </w:tcPr>
          <w:p w14:paraId="7B469614" w14:textId="77777777" w:rsidR="00274173" w:rsidRPr="001176F5" w:rsidRDefault="00274173" w:rsidP="001176F5">
            <w:pPr>
              <w:tabs>
                <w:tab w:val="left" w:pos="1515"/>
              </w:tabs>
              <w:spacing w:after="0" w:line="480" w:lineRule="auto"/>
              <w:ind w:right="-79"/>
              <w:rPr>
                <w:rFonts w:ascii="Calibri" w:eastAsia="Calibri" w:hAnsi="Calibri" w:cs="Times New Roman"/>
                <w:b/>
                <w:sz w:val="24"/>
                <w:szCs w:val="24"/>
              </w:rPr>
            </w:pPr>
          </w:p>
        </w:tc>
        <w:tc>
          <w:tcPr>
            <w:tcW w:w="4206" w:type="dxa"/>
          </w:tcPr>
          <w:p w14:paraId="5DF86A36" w14:textId="77777777" w:rsidR="00274173" w:rsidRPr="001176F5" w:rsidRDefault="00274173" w:rsidP="001176F5">
            <w:pPr>
              <w:tabs>
                <w:tab w:val="left" w:pos="1515"/>
              </w:tabs>
              <w:spacing w:after="0" w:line="480" w:lineRule="auto"/>
              <w:ind w:right="-79"/>
              <w:rPr>
                <w:rFonts w:ascii="Calibri" w:eastAsia="Calibri" w:hAnsi="Calibri" w:cs="Times New Roman"/>
                <w:b/>
                <w:sz w:val="24"/>
                <w:szCs w:val="24"/>
              </w:rPr>
            </w:pPr>
          </w:p>
        </w:tc>
      </w:tr>
      <w:tr w:rsidR="00274173" w:rsidRPr="001176F5" w14:paraId="2915D0C7" w14:textId="77777777" w:rsidTr="00854E55">
        <w:tc>
          <w:tcPr>
            <w:tcW w:w="1134" w:type="dxa"/>
          </w:tcPr>
          <w:p w14:paraId="5505B352" w14:textId="77777777" w:rsidR="00274173" w:rsidRPr="001176F5" w:rsidRDefault="00274173" w:rsidP="001176F5">
            <w:pPr>
              <w:spacing w:after="0" w:line="480" w:lineRule="auto"/>
              <w:ind w:right="-79"/>
              <w:rPr>
                <w:rFonts w:ascii="Calibri" w:eastAsia="Calibri" w:hAnsi="Calibri" w:cs="Times New Roman"/>
                <w:b/>
                <w:sz w:val="24"/>
                <w:szCs w:val="24"/>
              </w:rPr>
            </w:pPr>
          </w:p>
        </w:tc>
        <w:tc>
          <w:tcPr>
            <w:tcW w:w="3686" w:type="dxa"/>
          </w:tcPr>
          <w:p w14:paraId="56BD3ABD" w14:textId="77777777" w:rsidR="00274173" w:rsidRPr="001176F5" w:rsidRDefault="00274173" w:rsidP="001176F5">
            <w:pPr>
              <w:tabs>
                <w:tab w:val="left" w:pos="1515"/>
              </w:tabs>
              <w:spacing w:after="0" w:line="480" w:lineRule="auto"/>
              <w:ind w:right="-79"/>
              <w:rPr>
                <w:rFonts w:ascii="Calibri" w:eastAsia="Calibri" w:hAnsi="Calibri" w:cs="Times New Roman"/>
                <w:b/>
                <w:sz w:val="24"/>
                <w:szCs w:val="24"/>
              </w:rPr>
            </w:pPr>
          </w:p>
        </w:tc>
        <w:tc>
          <w:tcPr>
            <w:tcW w:w="4206" w:type="dxa"/>
          </w:tcPr>
          <w:p w14:paraId="3483385B" w14:textId="77777777" w:rsidR="00274173" w:rsidRPr="001176F5" w:rsidRDefault="00274173" w:rsidP="001176F5">
            <w:pPr>
              <w:tabs>
                <w:tab w:val="left" w:pos="1515"/>
              </w:tabs>
              <w:spacing w:after="0" w:line="480" w:lineRule="auto"/>
              <w:ind w:right="-79"/>
              <w:rPr>
                <w:rFonts w:ascii="Calibri" w:eastAsia="Calibri" w:hAnsi="Calibri" w:cs="Times New Roman"/>
                <w:b/>
                <w:sz w:val="24"/>
                <w:szCs w:val="24"/>
              </w:rPr>
            </w:pPr>
          </w:p>
        </w:tc>
      </w:tr>
      <w:tr w:rsidR="00274173" w:rsidRPr="001176F5" w14:paraId="0C7228DE" w14:textId="77777777" w:rsidTr="00854E55">
        <w:tc>
          <w:tcPr>
            <w:tcW w:w="1134" w:type="dxa"/>
          </w:tcPr>
          <w:p w14:paraId="0E83D4F2" w14:textId="77777777" w:rsidR="00274173" w:rsidRPr="001176F5" w:rsidRDefault="00274173" w:rsidP="001176F5">
            <w:pPr>
              <w:spacing w:after="0" w:line="480" w:lineRule="auto"/>
              <w:ind w:right="-79"/>
              <w:rPr>
                <w:rFonts w:ascii="Calibri" w:eastAsia="Calibri" w:hAnsi="Calibri" w:cs="Times New Roman"/>
                <w:b/>
                <w:sz w:val="24"/>
                <w:szCs w:val="24"/>
              </w:rPr>
            </w:pPr>
          </w:p>
        </w:tc>
        <w:tc>
          <w:tcPr>
            <w:tcW w:w="3686" w:type="dxa"/>
          </w:tcPr>
          <w:p w14:paraId="728D1277" w14:textId="77777777" w:rsidR="00274173" w:rsidRPr="001176F5" w:rsidRDefault="00274173" w:rsidP="001176F5">
            <w:pPr>
              <w:tabs>
                <w:tab w:val="left" w:pos="1515"/>
              </w:tabs>
              <w:spacing w:after="0" w:line="480" w:lineRule="auto"/>
              <w:ind w:right="-79"/>
              <w:rPr>
                <w:rFonts w:ascii="Calibri" w:eastAsia="Calibri" w:hAnsi="Calibri" w:cs="Times New Roman"/>
                <w:b/>
                <w:sz w:val="24"/>
                <w:szCs w:val="24"/>
              </w:rPr>
            </w:pPr>
          </w:p>
        </w:tc>
        <w:tc>
          <w:tcPr>
            <w:tcW w:w="4206" w:type="dxa"/>
          </w:tcPr>
          <w:p w14:paraId="290A552B" w14:textId="77777777" w:rsidR="00274173" w:rsidRPr="001176F5" w:rsidRDefault="00274173" w:rsidP="001176F5">
            <w:pPr>
              <w:tabs>
                <w:tab w:val="left" w:pos="1515"/>
              </w:tabs>
              <w:spacing w:after="0" w:line="480" w:lineRule="auto"/>
              <w:ind w:right="-79"/>
              <w:rPr>
                <w:rFonts w:ascii="Calibri" w:eastAsia="Calibri" w:hAnsi="Calibri" w:cs="Times New Roman"/>
                <w:b/>
                <w:sz w:val="24"/>
                <w:szCs w:val="24"/>
              </w:rPr>
            </w:pPr>
          </w:p>
        </w:tc>
      </w:tr>
      <w:tr w:rsidR="00827412" w:rsidRPr="001176F5" w14:paraId="39B00DB6" w14:textId="77777777" w:rsidTr="00854E55">
        <w:tc>
          <w:tcPr>
            <w:tcW w:w="1134" w:type="dxa"/>
          </w:tcPr>
          <w:p w14:paraId="04D82D53" w14:textId="77777777" w:rsidR="00827412" w:rsidRPr="001176F5" w:rsidRDefault="00827412" w:rsidP="001176F5">
            <w:pPr>
              <w:spacing w:after="0" w:line="480" w:lineRule="auto"/>
              <w:ind w:right="-79"/>
              <w:rPr>
                <w:rFonts w:ascii="Calibri" w:eastAsia="Calibri" w:hAnsi="Calibri" w:cs="Times New Roman"/>
                <w:b/>
                <w:sz w:val="24"/>
                <w:szCs w:val="24"/>
              </w:rPr>
            </w:pPr>
          </w:p>
        </w:tc>
        <w:tc>
          <w:tcPr>
            <w:tcW w:w="3686" w:type="dxa"/>
          </w:tcPr>
          <w:p w14:paraId="744F6F5D" w14:textId="49950C3B" w:rsidR="00827412" w:rsidRPr="001176F5" w:rsidRDefault="00827412" w:rsidP="001176F5">
            <w:pPr>
              <w:tabs>
                <w:tab w:val="left" w:pos="1515"/>
              </w:tabs>
              <w:spacing w:after="0" w:line="480" w:lineRule="auto"/>
              <w:ind w:right="-79"/>
              <w:rPr>
                <w:rFonts w:ascii="Calibri" w:eastAsia="Calibri" w:hAnsi="Calibri" w:cs="Times New Roman"/>
                <w:b/>
                <w:sz w:val="24"/>
                <w:szCs w:val="24"/>
              </w:rPr>
            </w:pPr>
          </w:p>
        </w:tc>
        <w:tc>
          <w:tcPr>
            <w:tcW w:w="4206" w:type="dxa"/>
          </w:tcPr>
          <w:p w14:paraId="2670350D" w14:textId="77777777" w:rsidR="00827412" w:rsidRPr="001176F5" w:rsidRDefault="00827412" w:rsidP="001176F5">
            <w:pPr>
              <w:tabs>
                <w:tab w:val="left" w:pos="1515"/>
              </w:tabs>
              <w:spacing w:after="0" w:line="480" w:lineRule="auto"/>
              <w:ind w:right="-79"/>
              <w:rPr>
                <w:rFonts w:ascii="Calibri" w:eastAsia="Calibri" w:hAnsi="Calibri" w:cs="Times New Roman"/>
                <w:b/>
                <w:sz w:val="24"/>
                <w:szCs w:val="24"/>
              </w:rPr>
            </w:pPr>
          </w:p>
        </w:tc>
      </w:tr>
    </w:tbl>
    <w:p w14:paraId="7F59CA4B" w14:textId="77777777" w:rsidR="00480694" w:rsidRDefault="00480694">
      <w:pPr>
        <w:rPr>
          <w:rFonts w:ascii="Arial" w:hAnsi="Arial" w:cs="Arial"/>
          <w:b/>
          <w:bCs/>
        </w:rPr>
      </w:pPr>
    </w:p>
    <w:p w14:paraId="0888C78A" w14:textId="77777777" w:rsidR="00E22CDA" w:rsidRDefault="00E22CDA">
      <w:pPr>
        <w:rPr>
          <w:rFonts w:ascii="Arial" w:hAnsi="Arial" w:cs="Arial"/>
          <w:b/>
          <w:bCs/>
        </w:rPr>
      </w:pPr>
    </w:p>
    <w:p w14:paraId="117B340A" w14:textId="77777777" w:rsidR="00E22CDA" w:rsidRDefault="00E22CDA">
      <w:pPr>
        <w:rPr>
          <w:rFonts w:ascii="Arial" w:hAnsi="Arial" w:cs="Arial"/>
          <w:b/>
          <w:bCs/>
        </w:rPr>
      </w:pPr>
    </w:p>
    <w:p w14:paraId="2D458307" w14:textId="77777777" w:rsidR="00827412" w:rsidRDefault="00827412">
      <w:pPr>
        <w:rPr>
          <w:rFonts w:ascii="Arial" w:hAnsi="Arial" w:cs="Arial"/>
          <w:b/>
          <w:bCs/>
        </w:rPr>
      </w:pPr>
    </w:p>
    <w:p w14:paraId="065D5FC7" w14:textId="2943AEAA" w:rsidR="00083BD4" w:rsidRPr="00E4082F" w:rsidRDefault="00083BD4">
      <w:pPr>
        <w:rPr>
          <w:rFonts w:ascii="Arial" w:hAnsi="Arial" w:cs="Arial"/>
          <w:b/>
          <w:bCs/>
        </w:rPr>
      </w:pPr>
      <w:r w:rsidRPr="001E162A">
        <w:rPr>
          <w:rFonts w:ascii="Arial" w:hAnsi="Arial" w:cs="Arial"/>
          <w:b/>
          <w:bCs/>
        </w:rPr>
        <w:lastRenderedPageBreak/>
        <w:t xml:space="preserve">The </w:t>
      </w:r>
      <w:r w:rsidR="006D5BE3" w:rsidRPr="005F6464">
        <w:rPr>
          <w:rFonts w:ascii="Arial" w:hAnsi="Arial" w:cs="Arial"/>
          <w:b/>
          <w:bCs/>
        </w:rPr>
        <w:t>Sale and Supply of Alcohol Act 2012</w:t>
      </w:r>
      <w:r w:rsidR="006D5BE3">
        <w:t xml:space="preserve"> </w:t>
      </w:r>
      <w:r w:rsidR="00FA6EF0">
        <w:rPr>
          <w:rFonts w:ascii="Arial" w:hAnsi="Arial" w:cs="Arial"/>
          <w:b/>
          <w:bCs/>
        </w:rPr>
        <w:t xml:space="preserve">also </w:t>
      </w:r>
      <w:r w:rsidRPr="001E162A">
        <w:rPr>
          <w:rFonts w:ascii="Arial" w:hAnsi="Arial" w:cs="Arial"/>
          <w:b/>
          <w:bCs/>
        </w:rPr>
        <w:t xml:space="preserve">requires us to comply with </w:t>
      </w:r>
      <w:r w:rsidR="006D5BE3">
        <w:rPr>
          <w:rFonts w:ascii="Arial" w:hAnsi="Arial" w:cs="Arial"/>
          <w:b/>
          <w:bCs/>
        </w:rPr>
        <w:t xml:space="preserve">the following </w:t>
      </w:r>
      <w:r w:rsidRPr="001E162A">
        <w:rPr>
          <w:rFonts w:ascii="Arial" w:hAnsi="Arial" w:cs="Arial"/>
          <w:b/>
          <w:bCs/>
        </w:rPr>
        <w:t>conditions</w:t>
      </w:r>
      <w:r w:rsidR="006D5BE3">
        <w:rPr>
          <w:rFonts w:ascii="Arial" w:hAnsi="Arial" w:cs="Arial"/>
          <w:b/>
          <w:bCs/>
        </w:rPr>
        <w:t xml:space="preserve"> to extend our trading hours:</w:t>
      </w:r>
    </w:p>
    <w:p w14:paraId="0C5C019F" w14:textId="2A092A7A" w:rsidR="00AE45EC" w:rsidRPr="00435955" w:rsidRDefault="00AE4102" w:rsidP="00435955">
      <w:pPr>
        <w:pStyle w:val="ListParagraph"/>
        <w:numPr>
          <w:ilvl w:val="0"/>
          <w:numId w:val="5"/>
        </w:numPr>
        <w:rPr>
          <w:rFonts w:ascii="Arial" w:hAnsi="Arial" w:cs="Arial"/>
        </w:rPr>
      </w:pPr>
      <w:r w:rsidRPr="001E162A">
        <w:rPr>
          <w:rFonts w:ascii="Arial" w:hAnsi="Arial" w:cs="Arial"/>
        </w:rPr>
        <w:t>Our</w:t>
      </w:r>
      <w:r w:rsidR="00083BD4" w:rsidRPr="001E162A">
        <w:rPr>
          <w:rFonts w:ascii="Arial" w:hAnsi="Arial" w:cs="Arial"/>
        </w:rPr>
        <w:t xml:space="preserve"> primary or sole purpose of extend</w:t>
      </w:r>
      <w:r w:rsidRPr="001E162A">
        <w:rPr>
          <w:rFonts w:ascii="Arial" w:hAnsi="Arial" w:cs="Arial"/>
        </w:rPr>
        <w:t>ing our</w:t>
      </w:r>
      <w:r w:rsidR="00083BD4" w:rsidRPr="001E162A">
        <w:rPr>
          <w:rFonts w:ascii="Arial" w:hAnsi="Arial" w:cs="Arial"/>
        </w:rPr>
        <w:t xml:space="preserve"> trading hours is to televise live Rugby World Cup 20</w:t>
      </w:r>
      <w:r w:rsidRPr="001E162A">
        <w:rPr>
          <w:rFonts w:ascii="Arial" w:hAnsi="Arial" w:cs="Arial"/>
        </w:rPr>
        <w:t xml:space="preserve">23 </w:t>
      </w:r>
      <w:r w:rsidR="00083BD4" w:rsidRPr="001E162A">
        <w:rPr>
          <w:rFonts w:ascii="Arial" w:hAnsi="Arial" w:cs="Arial"/>
        </w:rPr>
        <w:t xml:space="preserve">games. </w:t>
      </w:r>
    </w:p>
    <w:p w14:paraId="1E20A9ED" w14:textId="2CE3ACEB" w:rsidR="00AE45EC" w:rsidRPr="001E162A" w:rsidRDefault="00AE45EC" w:rsidP="008416A3">
      <w:pPr>
        <w:pStyle w:val="ListParagraph"/>
        <w:numPr>
          <w:ilvl w:val="0"/>
          <w:numId w:val="5"/>
        </w:numPr>
        <w:rPr>
          <w:rFonts w:ascii="Arial" w:hAnsi="Arial" w:cs="Arial"/>
        </w:rPr>
      </w:pPr>
      <w:r w:rsidRPr="001E162A">
        <w:rPr>
          <w:rFonts w:ascii="Arial" w:hAnsi="Arial" w:cs="Arial"/>
        </w:rPr>
        <w:t>The extended trading hours period will be treated as if it were part of the permitted trading hours under section 46(1) and 259(1)(a) of the Sale and Supply of Alcohol Act 2012</w:t>
      </w:r>
      <w:r w:rsidR="007414DC">
        <w:rPr>
          <w:rFonts w:ascii="Arial" w:hAnsi="Arial" w:cs="Arial"/>
        </w:rPr>
        <w:t xml:space="preserve"> (the Act)</w:t>
      </w:r>
      <w:r w:rsidRPr="001E162A">
        <w:rPr>
          <w:rFonts w:ascii="Arial" w:hAnsi="Arial" w:cs="Arial"/>
        </w:rPr>
        <w:t>, and we must comply with</w:t>
      </w:r>
      <w:r w:rsidR="008416A3" w:rsidRPr="001E162A">
        <w:rPr>
          <w:rFonts w:ascii="Arial" w:hAnsi="Arial" w:cs="Arial"/>
        </w:rPr>
        <w:t>:</w:t>
      </w:r>
    </w:p>
    <w:p w14:paraId="2A02731C" w14:textId="249083C1" w:rsidR="00AE45EC" w:rsidRPr="001E162A" w:rsidRDefault="00083BD4" w:rsidP="00AE45EC">
      <w:pPr>
        <w:pStyle w:val="ListParagraph"/>
        <w:numPr>
          <w:ilvl w:val="1"/>
          <w:numId w:val="5"/>
        </w:numPr>
        <w:rPr>
          <w:rFonts w:ascii="Arial" w:hAnsi="Arial" w:cs="Arial"/>
        </w:rPr>
      </w:pPr>
      <w:r w:rsidRPr="001E162A">
        <w:rPr>
          <w:rFonts w:ascii="Arial" w:hAnsi="Arial" w:cs="Arial"/>
        </w:rPr>
        <w:t xml:space="preserve">all applicable requirements and restrictions under the </w:t>
      </w:r>
      <w:r w:rsidR="007414DC">
        <w:rPr>
          <w:rFonts w:ascii="Arial" w:hAnsi="Arial" w:cs="Arial"/>
        </w:rPr>
        <w:t xml:space="preserve">Act </w:t>
      </w:r>
      <w:r w:rsidR="00AE45EC" w:rsidRPr="001E162A">
        <w:rPr>
          <w:rFonts w:ascii="Arial" w:hAnsi="Arial" w:cs="Arial"/>
        </w:rPr>
        <w:t>unless they are overridden by the</w:t>
      </w:r>
      <w:r w:rsidR="007414DC">
        <w:rPr>
          <w:rFonts w:ascii="Arial" w:hAnsi="Arial" w:cs="Arial"/>
        </w:rPr>
        <w:t xml:space="preserve"> temporary amendments to the Act (sections 45A-45H)</w:t>
      </w:r>
    </w:p>
    <w:p w14:paraId="1859A3B7" w14:textId="03213E21" w:rsidR="00AE45EC" w:rsidRPr="001E162A" w:rsidRDefault="00AE4102" w:rsidP="00AE45EC">
      <w:pPr>
        <w:pStyle w:val="ListParagraph"/>
        <w:numPr>
          <w:ilvl w:val="1"/>
          <w:numId w:val="5"/>
        </w:numPr>
        <w:rPr>
          <w:rFonts w:ascii="Arial" w:hAnsi="Arial" w:cs="Arial"/>
        </w:rPr>
      </w:pPr>
      <w:r w:rsidRPr="001E162A">
        <w:rPr>
          <w:rFonts w:ascii="Arial" w:hAnsi="Arial" w:cs="Arial"/>
        </w:rPr>
        <w:t xml:space="preserve">the conditions of our licence and any </w:t>
      </w:r>
      <w:r w:rsidR="007414DC">
        <w:rPr>
          <w:rFonts w:ascii="Arial" w:hAnsi="Arial" w:cs="Arial"/>
        </w:rPr>
        <w:t>l</w:t>
      </w:r>
      <w:r w:rsidRPr="001E162A">
        <w:rPr>
          <w:rFonts w:ascii="Arial" w:hAnsi="Arial" w:cs="Arial"/>
        </w:rPr>
        <w:t xml:space="preserve">ocal </w:t>
      </w:r>
      <w:r w:rsidR="007414DC">
        <w:rPr>
          <w:rFonts w:ascii="Arial" w:hAnsi="Arial" w:cs="Arial"/>
        </w:rPr>
        <w:t>a</w:t>
      </w:r>
      <w:r w:rsidRPr="001E162A">
        <w:rPr>
          <w:rFonts w:ascii="Arial" w:hAnsi="Arial" w:cs="Arial"/>
        </w:rPr>
        <w:t xml:space="preserve">lcohol </w:t>
      </w:r>
      <w:r w:rsidR="007414DC">
        <w:rPr>
          <w:rFonts w:ascii="Arial" w:hAnsi="Arial" w:cs="Arial"/>
        </w:rPr>
        <w:t>p</w:t>
      </w:r>
      <w:r w:rsidRPr="001E162A">
        <w:rPr>
          <w:rFonts w:ascii="Arial" w:hAnsi="Arial" w:cs="Arial"/>
        </w:rPr>
        <w:t xml:space="preserve">olicy </w:t>
      </w:r>
      <w:r w:rsidR="00AE45EC" w:rsidRPr="001E162A">
        <w:rPr>
          <w:rFonts w:ascii="Arial" w:hAnsi="Arial" w:cs="Arial"/>
        </w:rPr>
        <w:t xml:space="preserve">unless they are overridden by </w:t>
      </w:r>
      <w:r w:rsidR="007414DC">
        <w:rPr>
          <w:rFonts w:ascii="Arial" w:hAnsi="Arial" w:cs="Arial"/>
        </w:rPr>
        <w:t>45A-45H</w:t>
      </w:r>
    </w:p>
    <w:p w14:paraId="0D33234E" w14:textId="0740294A" w:rsidR="00AE4102" w:rsidRPr="001E162A" w:rsidRDefault="0012436C" w:rsidP="00AE45EC">
      <w:pPr>
        <w:pStyle w:val="ListParagraph"/>
        <w:numPr>
          <w:ilvl w:val="1"/>
          <w:numId w:val="5"/>
        </w:numPr>
        <w:rPr>
          <w:rFonts w:ascii="Arial" w:hAnsi="Arial" w:cs="Arial"/>
        </w:rPr>
      </w:pPr>
      <w:r>
        <w:rPr>
          <w:rFonts w:ascii="Arial" w:hAnsi="Arial" w:cs="Arial"/>
        </w:rPr>
        <w:t>our normal noise restriction conditions</w:t>
      </w:r>
      <w:r w:rsidR="00D671F3">
        <w:rPr>
          <w:rFonts w:ascii="Arial" w:hAnsi="Arial" w:cs="Arial"/>
        </w:rPr>
        <w:t xml:space="preserve">, and </w:t>
      </w:r>
      <w:r w:rsidR="00083BD4" w:rsidRPr="001E162A">
        <w:rPr>
          <w:rFonts w:ascii="Arial" w:hAnsi="Arial" w:cs="Arial"/>
        </w:rPr>
        <w:t>the following noise management conditions while operating during the extended hours:</w:t>
      </w:r>
    </w:p>
    <w:p w14:paraId="1B52EE11" w14:textId="2BEC067A" w:rsidR="00AE4102" w:rsidRPr="001E162A" w:rsidRDefault="00C06892" w:rsidP="00AE45EC">
      <w:pPr>
        <w:pStyle w:val="ListParagraph"/>
        <w:numPr>
          <w:ilvl w:val="2"/>
          <w:numId w:val="5"/>
        </w:numPr>
        <w:rPr>
          <w:rFonts w:ascii="Arial" w:hAnsi="Arial" w:cs="Arial"/>
        </w:rPr>
      </w:pPr>
      <w:r>
        <w:rPr>
          <w:rFonts w:ascii="Arial" w:hAnsi="Arial" w:cs="Arial"/>
        </w:rPr>
        <w:t xml:space="preserve">we cannot use </w:t>
      </w:r>
      <w:r w:rsidR="00AE4102" w:rsidRPr="001E162A">
        <w:rPr>
          <w:rFonts w:ascii="Arial" w:hAnsi="Arial" w:cs="Arial"/>
        </w:rPr>
        <w:t>open areas</w:t>
      </w:r>
      <w:r w:rsidR="00403221">
        <w:rPr>
          <w:rStyle w:val="FootnoteReference"/>
          <w:rFonts w:ascii="Arial" w:hAnsi="Arial" w:cs="Arial"/>
        </w:rPr>
        <w:footnoteReference w:id="2"/>
      </w:r>
      <w:r w:rsidR="00083BD4" w:rsidRPr="001E162A">
        <w:rPr>
          <w:rFonts w:ascii="Arial" w:hAnsi="Arial" w:cs="Arial"/>
        </w:rPr>
        <w:t xml:space="preserve"> for any purpose</w:t>
      </w:r>
      <w:r w:rsidR="00340AE2">
        <w:rPr>
          <w:rFonts w:ascii="Arial" w:hAnsi="Arial" w:cs="Arial"/>
        </w:rPr>
        <w:t xml:space="preserve"> (</w:t>
      </w:r>
      <w:r>
        <w:rPr>
          <w:rFonts w:ascii="Arial" w:hAnsi="Arial" w:cs="Arial"/>
        </w:rPr>
        <w:t>t</w:t>
      </w:r>
      <w:r w:rsidR="00340AE2">
        <w:rPr>
          <w:rFonts w:ascii="Arial" w:hAnsi="Arial" w:cs="Arial"/>
        </w:rPr>
        <w:t>his means our smoking and vaping area will be closed)</w:t>
      </w:r>
    </w:p>
    <w:p w14:paraId="62948B82" w14:textId="076E3045" w:rsidR="00AE4102" w:rsidRPr="001E162A" w:rsidRDefault="00C06892" w:rsidP="00AE45EC">
      <w:pPr>
        <w:pStyle w:val="ListParagraph"/>
        <w:numPr>
          <w:ilvl w:val="2"/>
          <w:numId w:val="5"/>
        </w:numPr>
        <w:rPr>
          <w:rFonts w:ascii="Arial" w:hAnsi="Arial" w:cs="Arial"/>
        </w:rPr>
      </w:pPr>
      <w:r>
        <w:rPr>
          <w:rFonts w:ascii="Arial" w:hAnsi="Arial" w:cs="Arial"/>
        </w:rPr>
        <w:t xml:space="preserve">we cannot use </w:t>
      </w:r>
      <w:r w:rsidR="00083BD4" w:rsidRPr="001E162A">
        <w:rPr>
          <w:rFonts w:ascii="Arial" w:hAnsi="Arial" w:cs="Arial"/>
        </w:rPr>
        <w:t xml:space="preserve">audio equipment </w:t>
      </w:r>
      <w:r>
        <w:rPr>
          <w:rFonts w:ascii="Arial" w:hAnsi="Arial" w:cs="Arial"/>
        </w:rPr>
        <w:t>(</w:t>
      </w:r>
      <w:r w:rsidR="00A421FF">
        <w:rPr>
          <w:rFonts w:ascii="Arial" w:hAnsi="Arial" w:cs="Arial"/>
        </w:rPr>
        <w:t>such</w:t>
      </w:r>
      <w:r w:rsidR="00083BD4" w:rsidRPr="001E162A">
        <w:rPr>
          <w:rFonts w:ascii="Arial" w:hAnsi="Arial" w:cs="Arial"/>
        </w:rPr>
        <w:t xml:space="preserve"> as loudspeakers, amplifiers</w:t>
      </w:r>
      <w:r>
        <w:rPr>
          <w:rFonts w:ascii="Arial" w:hAnsi="Arial" w:cs="Arial"/>
        </w:rPr>
        <w:t>,</w:t>
      </w:r>
      <w:r w:rsidR="00083BD4" w:rsidRPr="001E162A">
        <w:rPr>
          <w:rFonts w:ascii="Arial" w:hAnsi="Arial" w:cs="Arial"/>
        </w:rPr>
        <w:t xml:space="preserve"> or audio relay equipmen</w:t>
      </w:r>
      <w:r>
        <w:rPr>
          <w:rFonts w:ascii="Arial" w:hAnsi="Arial" w:cs="Arial"/>
        </w:rPr>
        <w:t>t)</w:t>
      </w:r>
      <w:r w:rsidR="00AE4102" w:rsidRPr="001E162A">
        <w:rPr>
          <w:rFonts w:ascii="Arial" w:hAnsi="Arial" w:cs="Arial"/>
        </w:rPr>
        <w:t xml:space="preserve"> in an open area</w:t>
      </w:r>
      <w:r w:rsidR="00083BD4" w:rsidRPr="001E162A">
        <w:rPr>
          <w:rFonts w:ascii="Arial" w:hAnsi="Arial" w:cs="Arial"/>
        </w:rPr>
        <w:t xml:space="preserve">, and </w:t>
      </w:r>
    </w:p>
    <w:p w14:paraId="3E6D72FE" w14:textId="39094685" w:rsidR="00AE45EC" w:rsidRPr="001E162A" w:rsidRDefault="00C06892" w:rsidP="00A949E7">
      <w:pPr>
        <w:pStyle w:val="ListParagraph"/>
        <w:numPr>
          <w:ilvl w:val="2"/>
          <w:numId w:val="5"/>
        </w:numPr>
        <w:rPr>
          <w:rFonts w:ascii="Arial" w:hAnsi="Arial" w:cs="Arial"/>
        </w:rPr>
      </w:pPr>
      <w:r>
        <w:rPr>
          <w:rFonts w:ascii="Arial" w:hAnsi="Arial" w:cs="Arial"/>
        </w:rPr>
        <w:t xml:space="preserve">we cannot dispose of or leave </w:t>
      </w:r>
      <w:r w:rsidR="00083BD4" w:rsidRPr="001E162A">
        <w:rPr>
          <w:rFonts w:ascii="Arial" w:hAnsi="Arial" w:cs="Arial"/>
        </w:rPr>
        <w:t>bottles or other rubbish</w:t>
      </w:r>
      <w:r>
        <w:rPr>
          <w:rFonts w:ascii="Arial" w:hAnsi="Arial" w:cs="Arial"/>
        </w:rPr>
        <w:t xml:space="preserve"> for collection</w:t>
      </w:r>
      <w:r w:rsidR="00083BD4" w:rsidRPr="001E162A">
        <w:rPr>
          <w:rFonts w:ascii="Arial" w:hAnsi="Arial" w:cs="Arial"/>
        </w:rPr>
        <w:t xml:space="preserve"> </w:t>
      </w:r>
      <w:r w:rsidR="00AE4102" w:rsidRPr="001E162A">
        <w:rPr>
          <w:rFonts w:ascii="Arial" w:hAnsi="Arial" w:cs="Arial"/>
        </w:rPr>
        <w:t>in an open area</w:t>
      </w:r>
      <w:r w:rsidR="00083BD4" w:rsidRPr="001E162A">
        <w:rPr>
          <w:rFonts w:ascii="Arial" w:hAnsi="Arial" w:cs="Arial"/>
        </w:rPr>
        <w:t xml:space="preserve"> </w:t>
      </w:r>
    </w:p>
    <w:p w14:paraId="0126C156" w14:textId="249ADDC9" w:rsidR="00083BD4" w:rsidRPr="001E162A" w:rsidRDefault="00083BD4" w:rsidP="00E22CDA">
      <w:pPr>
        <w:pStyle w:val="ListParagraph"/>
        <w:numPr>
          <w:ilvl w:val="1"/>
          <w:numId w:val="5"/>
        </w:numPr>
        <w:rPr>
          <w:rFonts w:ascii="Arial" w:hAnsi="Arial" w:cs="Arial"/>
        </w:rPr>
      </w:pPr>
      <w:r w:rsidRPr="001E162A">
        <w:rPr>
          <w:rFonts w:ascii="Arial" w:hAnsi="Arial" w:cs="Arial"/>
        </w:rPr>
        <w:t>the following arrangements</w:t>
      </w:r>
      <w:r w:rsidR="00C06892">
        <w:rPr>
          <w:rFonts w:ascii="Arial" w:hAnsi="Arial" w:cs="Arial"/>
        </w:rPr>
        <w:t xml:space="preserve"> (appropriate to our location)</w:t>
      </w:r>
      <w:r w:rsidRPr="001E162A">
        <w:rPr>
          <w:rFonts w:ascii="Arial" w:hAnsi="Arial" w:cs="Arial"/>
        </w:rPr>
        <w:t xml:space="preserve"> to manage noise levels</w:t>
      </w:r>
      <w:r w:rsidR="009A2F9E">
        <w:rPr>
          <w:rFonts w:ascii="Arial" w:hAnsi="Arial" w:cs="Arial"/>
        </w:rPr>
        <w:t xml:space="preserve"> are described </w:t>
      </w:r>
      <w:r w:rsidR="00D0596A">
        <w:rPr>
          <w:rFonts w:ascii="Arial" w:hAnsi="Arial" w:cs="Arial"/>
        </w:rPr>
        <w:t>below</w:t>
      </w:r>
      <w:r w:rsidRPr="001E162A">
        <w:rPr>
          <w:rFonts w:ascii="Arial" w:hAnsi="Arial" w:cs="Arial"/>
        </w:rPr>
        <w:t>:</w:t>
      </w:r>
    </w:p>
    <w:tbl>
      <w:tblPr>
        <w:tblStyle w:val="TableGrid"/>
        <w:tblW w:w="0" w:type="auto"/>
        <w:tblLook w:val="04A0" w:firstRow="1" w:lastRow="0" w:firstColumn="1" w:lastColumn="0" w:noHBand="0" w:noVBand="1"/>
      </w:tblPr>
      <w:tblGrid>
        <w:gridCol w:w="9016"/>
      </w:tblGrid>
      <w:tr w:rsidR="00083BD4" w:rsidRPr="001E162A" w14:paraId="15348D87" w14:textId="77777777" w:rsidTr="00DB1D30">
        <w:trPr>
          <w:trHeight w:val="4258"/>
        </w:trPr>
        <w:tc>
          <w:tcPr>
            <w:tcW w:w="9016" w:type="dxa"/>
          </w:tcPr>
          <w:p w14:paraId="6FBE3943" w14:textId="77777777" w:rsidR="00CA5CFC" w:rsidRDefault="00CA5CFC" w:rsidP="00572840">
            <w:pPr>
              <w:rPr>
                <w:rFonts w:ascii="Arial" w:hAnsi="Arial" w:cs="Arial"/>
              </w:rPr>
            </w:pPr>
          </w:p>
          <w:p w14:paraId="0E21CF37" w14:textId="77777777" w:rsidR="00CA5CFC" w:rsidRDefault="00CA5CFC" w:rsidP="00572840">
            <w:pPr>
              <w:rPr>
                <w:rFonts w:ascii="Arial" w:hAnsi="Arial" w:cs="Arial"/>
              </w:rPr>
            </w:pPr>
          </w:p>
          <w:p w14:paraId="0BE1798F" w14:textId="77777777" w:rsidR="00CA5CFC" w:rsidRDefault="00CA5CFC" w:rsidP="00572840">
            <w:pPr>
              <w:rPr>
                <w:rFonts w:ascii="Arial" w:hAnsi="Arial" w:cs="Arial"/>
              </w:rPr>
            </w:pPr>
          </w:p>
          <w:p w14:paraId="1B4FC80B" w14:textId="77777777" w:rsidR="00CA5CFC" w:rsidRDefault="00CA5CFC" w:rsidP="00572840">
            <w:pPr>
              <w:rPr>
                <w:rFonts w:ascii="Arial" w:hAnsi="Arial" w:cs="Arial"/>
              </w:rPr>
            </w:pPr>
          </w:p>
          <w:p w14:paraId="24EDA18E" w14:textId="77777777" w:rsidR="00CA5CFC" w:rsidRDefault="00CA5CFC" w:rsidP="00572840">
            <w:pPr>
              <w:rPr>
                <w:rFonts w:ascii="Arial" w:hAnsi="Arial" w:cs="Arial"/>
              </w:rPr>
            </w:pPr>
          </w:p>
          <w:p w14:paraId="1432D4C6" w14:textId="77777777" w:rsidR="00CA5CFC" w:rsidRDefault="00CA5CFC" w:rsidP="00572840">
            <w:pPr>
              <w:rPr>
                <w:rFonts w:ascii="Arial" w:hAnsi="Arial" w:cs="Arial"/>
              </w:rPr>
            </w:pPr>
          </w:p>
          <w:p w14:paraId="53494FF8" w14:textId="77777777" w:rsidR="00CA5CFC" w:rsidRDefault="00CA5CFC" w:rsidP="00572840">
            <w:pPr>
              <w:rPr>
                <w:rFonts w:ascii="Arial" w:hAnsi="Arial" w:cs="Arial"/>
              </w:rPr>
            </w:pPr>
          </w:p>
          <w:p w14:paraId="5D764315" w14:textId="77777777" w:rsidR="00CA5CFC" w:rsidRDefault="00CA5CFC" w:rsidP="00572840">
            <w:pPr>
              <w:rPr>
                <w:rFonts w:ascii="Arial" w:hAnsi="Arial" w:cs="Arial"/>
              </w:rPr>
            </w:pPr>
          </w:p>
          <w:p w14:paraId="7EE34236" w14:textId="77777777" w:rsidR="00CA5CFC" w:rsidRDefault="00CA5CFC" w:rsidP="00572840">
            <w:pPr>
              <w:rPr>
                <w:rFonts w:ascii="Arial" w:hAnsi="Arial" w:cs="Arial"/>
              </w:rPr>
            </w:pPr>
          </w:p>
          <w:p w14:paraId="365A9A37" w14:textId="77777777" w:rsidR="00CA5CFC" w:rsidRDefault="00CA5CFC" w:rsidP="00572840">
            <w:pPr>
              <w:rPr>
                <w:rFonts w:ascii="Arial" w:hAnsi="Arial" w:cs="Arial"/>
              </w:rPr>
            </w:pPr>
          </w:p>
          <w:p w14:paraId="0693B750" w14:textId="77777777" w:rsidR="00CA5CFC" w:rsidRDefault="00CA5CFC" w:rsidP="00572840">
            <w:pPr>
              <w:rPr>
                <w:rFonts w:ascii="Arial" w:hAnsi="Arial" w:cs="Arial"/>
              </w:rPr>
            </w:pPr>
          </w:p>
          <w:p w14:paraId="6134BD70" w14:textId="77777777" w:rsidR="00CA5CFC" w:rsidRDefault="00CA5CFC" w:rsidP="00572840">
            <w:pPr>
              <w:rPr>
                <w:rFonts w:ascii="Arial" w:hAnsi="Arial" w:cs="Arial"/>
              </w:rPr>
            </w:pPr>
          </w:p>
          <w:p w14:paraId="05348F69" w14:textId="77777777" w:rsidR="00CA5CFC" w:rsidRDefault="00CA5CFC" w:rsidP="00572840">
            <w:pPr>
              <w:rPr>
                <w:rFonts w:ascii="Arial" w:hAnsi="Arial" w:cs="Arial"/>
              </w:rPr>
            </w:pPr>
          </w:p>
          <w:p w14:paraId="39E805D5" w14:textId="22F0A69D" w:rsidR="00083BD4" w:rsidRPr="001E162A" w:rsidRDefault="00083BD4" w:rsidP="00572840">
            <w:pPr>
              <w:rPr>
                <w:rFonts w:ascii="Arial" w:hAnsi="Arial" w:cs="Arial"/>
              </w:rPr>
            </w:pPr>
          </w:p>
        </w:tc>
      </w:tr>
    </w:tbl>
    <w:p w14:paraId="3FF64A4C" w14:textId="668D19D4" w:rsidR="00083BD4" w:rsidRPr="001E162A" w:rsidRDefault="00083BD4">
      <w:pPr>
        <w:rPr>
          <w:rFonts w:ascii="Arial" w:hAnsi="Arial" w:cs="Arial"/>
        </w:rPr>
      </w:pPr>
    </w:p>
    <w:p w14:paraId="40E8B6FD" w14:textId="35AA780F" w:rsidR="00AE45EC" w:rsidRPr="00E22CDA" w:rsidRDefault="00784748" w:rsidP="00E22CDA">
      <w:pPr>
        <w:rPr>
          <w:rFonts w:ascii="Arial" w:hAnsi="Arial" w:cs="Arial"/>
          <w:b/>
          <w:bCs/>
        </w:rPr>
      </w:pPr>
      <w:r w:rsidRPr="00E22CDA">
        <w:rPr>
          <w:rFonts w:ascii="Arial" w:hAnsi="Arial" w:cs="Arial"/>
          <w:b/>
          <w:bCs/>
        </w:rPr>
        <w:t>Conditions</w:t>
      </w:r>
      <w:r w:rsidR="00AE45EC" w:rsidRPr="00E22CDA">
        <w:rPr>
          <w:rFonts w:ascii="Arial" w:hAnsi="Arial" w:cs="Arial"/>
          <w:b/>
          <w:bCs/>
        </w:rPr>
        <w:t xml:space="preserve"> that do not apply to the extended trading hours are:</w:t>
      </w:r>
    </w:p>
    <w:p w14:paraId="1C487547" w14:textId="0003FFEB" w:rsidR="00784748" w:rsidRPr="00E22CDA" w:rsidRDefault="00083BD4" w:rsidP="00E22CDA">
      <w:pPr>
        <w:pStyle w:val="ListParagraph"/>
        <w:numPr>
          <w:ilvl w:val="0"/>
          <w:numId w:val="9"/>
        </w:numPr>
        <w:ind w:left="720"/>
        <w:rPr>
          <w:rFonts w:ascii="Arial" w:hAnsi="Arial" w:cs="Arial"/>
        </w:rPr>
      </w:pPr>
      <w:r w:rsidRPr="00E22CDA">
        <w:rPr>
          <w:rFonts w:ascii="Arial" w:hAnsi="Arial" w:cs="Arial"/>
        </w:rPr>
        <w:t>one-way door</w:t>
      </w:r>
      <w:r w:rsidR="00AE45EC" w:rsidRPr="00E22CDA">
        <w:rPr>
          <w:rFonts w:ascii="Arial" w:hAnsi="Arial" w:cs="Arial"/>
        </w:rPr>
        <w:t xml:space="preserve"> policies</w:t>
      </w:r>
      <w:r w:rsidR="00E22CDA">
        <w:rPr>
          <w:rStyle w:val="FootnoteReference"/>
          <w:rFonts w:ascii="Arial" w:hAnsi="Arial" w:cs="Arial"/>
        </w:rPr>
        <w:footnoteReference w:id="3"/>
      </w:r>
      <w:r w:rsidRPr="00E22CDA">
        <w:rPr>
          <w:rFonts w:ascii="Arial" w:hAnsi="Arial" w:cs="Arial"/>
        </w:rPr>
        <w:t xml:space="preserve"> (if applicable) </w:t>
      </w:r>
      <w:r w:rsidR="00784748" w:rsidRPr="00E22CDA">
        <w:rPr>
          <w:rFonts w:ascii="Arial" w:hAnsi="Arial" w:cs="Arial"/>
        </w:rPr>
        <w:t xml:space="preserve">are not in effect </w:t>
      </w:r>
      <w:r w:rsidR="00AE45EC" w:rsidRPr="00E22CDA">
        <w:rPr>
          <w:rFonts w:ascii="Arial" w:hAnsi="Arial" w:cs="Arial"/>
        </w:rPr>
        <w:t>one hour before a game starts, during the game</w:t>
      </w:r>
      <w:r w:rsidR="00784748" w:rsidRPr="00E22CDA">
        <w:rPr>
          <w:rFonts w:ascii="Arial" w:hAnsi="Arial" w:cs="Arial"/>
        </w:rPr>
        <w:t>, and one hour after we are required to stop selling alcohol</w:t>
      </w:r>
      <w:r w:rsidR="00435955" w:rsidRPr="00E22CDA">
        <w:rPr>
          <w:rFonts w:ascii="Arial" w:hAnsi="Arial" w:cs="Arial"/>
        </w:rPr>
        <w:t>, and</w:t>
      </w:r>
    </w:p>
    <w:p w14:paraId="5144062A" w14:textId="2F676BFF" w:rsidR="00AE45EC" w:rsidRPr="00E22CDA" w:rsidRDefault="00435955" w:rsidP="00E22CDA">
      <w:pPr>
        <w:pStyle w:val="ListParagraph"/>
        <w:numPr>
          <w:ilvl w:val="0"/>
          <w:numId w:val="9"/>
        </w:numPr>
        <w:spacing w:after="0" w:line="240" w:lineRule="auto"/>
        <w:ind w:left="720" w:right="-79"/>
      </w:pPr>
      <w:r w:rsidRPr="00E22CDA">
        <w:rPr>
          <w:rFonts w:ascii="Arial" w:hAnsi="Arial" w:cs="Arial"/>
        </w:rPr>
        <w:t>a</w:t>
      </w:r>
      <w:r w:rsidR="00083BD4" w:rsidRPr="00E22CDA">
        <w:rPr>
          <w:rFonts w:ascii="Arial" w:hAnsi="Arial" w:cs="Arial"/>
        </w:rPr>
        <w:t>ny restrictions on operating hours imposed under section 9 of the Resource Management Act 1991 do not apply.</w:t>
      </w:r>
    </w:p>
    <w:sectPr w:rsidR="00AE45EC" w:rsidRPr="00E22CD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AAA0F" w14:textId="77777777" w:rsidR="009E44FD" w:rsidRDefault="009E44FD">
      <w:pPr>
        <w:spacing w:after="0" w:line="240" w:lineRule="auto"/>
      </w:pPr>
      <w:r>
        <w:separator/>
      </w:r>
    </w:p>
  </w:endnote>
  <w:endnote w:type="continuationSeparator" w:id="0">
    <w:p w14:paraId="145DC458" w14:textId="77777777" w:rsidR="009E44FD" w:rsidRDefault="009E44FD">
      <w:pPr>
        <w:spacing w:after="0" w:line="240" w:lineRule="auto"/>
      </w:pPr>
      <w:r>
        <w:continuationSeparator/>
      </w:r>
    </w:p>
  </w:endnote>
  <w:endnote w:type="continuationNotice" w:id="1">
    <w:p w14:paraId="411F6457" w14:textId="77777777" w:rsidR="009E44FD" w:rsidRDefault="009E44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8E027" w14:textId="77777777" w:rsidR="009E44FD" w:rsidRDefault="009E44FD">
      <w:pPr>
        <w:spacing w:after="0" w:line="240" w:lineRule="auto"/>
      </w:pPr>
      <w:r>
        <w:separator/>
      </w:r>
    </w:p>
  </w:footnote>
  <w:footnote w:type="continuationSeparator" w:id="0">
    <w:p w14:paraId="1549DC3F" w14:textId="77777777" w:rsidR="009E44FD" w:rsidRDefault="009E44FD">
      <w:pPr>
        <w:spacing w:after="0" w:line="240" w:lineRule="auto"/>
      </w:pPr>
      <w:r>
        <w:continuationSeparator/>
      </w:r>
    </w:p>
  </w:footnote>
  <w:footnote w:type="continuationNotice" w:id="1">
    <w:p w14:paraId="1D4698B4" w14:textId="77777777" w:rsidR="009E44FD" w:rsidRDefault="009E44FD">
      <w:pPr>
        <w:spacing w:after="0" w:line="240" w:lineRule="auto"/>
      </w:pPr>
    </w:p>
  </w:footnote>
  <w:footnote w:id="2">
    <w:p w14:paraId="57A8E97A" w14:textId="75A3D472" w:rsidR="00403221" w:rsidRDefault="00403221">
      <w:pPr>
        <w:pStyle w:val="FootnoteText"/>
      </w:pPr>
      <w:r>
        <w:rPr>
          <w:rStyle w:val="FootnoteReference"/>
        </w:rPr>
        <w:footnoteRef/>
      </w:r>
      <w:r>
        <w:t xml:space="preserve"> </w:t>
      </w:r>
      <w:r w:rsidR="000A5951" w:rsidRPr="000A5951">
        <w:t xml:space="preserve">“Open area” is defined in section 2(1) of the Smokefree Environments and Regulated Products Act 1990 as any area that is not an “internal area”. An “internal area” is defined as, essentially, any area within a premises that is enclosed by a ceiling or roof, walls, and windows and doors that shut. </w:t>
      </w:r>
    </w:p>
  </w:footnote>
  <w:footnote w:id="3">
    <w:p w14:paraId="347D8357" w14:textId="025DF92D" w:rsidR="00E22CDA" w:rsidRDefault="00E22CDA">
      <w:pPr>
        <w:pStyle w:val="FootnoteText"/>
      </w:pPr>
      <w:r>
        <w:rPr>
          <w:rStyle w:val="FootnoteReference"/>
        </w:rPr>
        <w:footnoteRef/>
      </w:r>
      <w:r>
        <w:t xml:space="preserve"> A one-way door policy prevents patrons from entering or re-entering the premises during </w:t>
      </w:r>
      <w:r>
        <w:t>a time period specified in the policy</w:t>
      </w:r>
      <w:r>
        <w:rPr>
          <w:rFonts w:ascii="Calibri" w:eastAsia="Calibri" w:hAnsi="Calibri" w:cs="Times New Roman"/>
          <w:sz w:val="22"/>
          <w:szCs w:val="2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83903"/>
    <w:multiLevelType w:val="hybridMultilevel"/>
    <w:tmpl w:val="C90A0542"/>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1" w15:restartNumberingAfterBreak="0">
    <w:nsid w:val="1B0A785B"/>
    <w:multiLevelType w:val="hybridMultilevel"/>
    <w:tmpl w:val="3EAEEE0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DE44EC4"/>
    <w:multiLevelType w:val="hybridMultilevel"/>
    <w:tmpl w:val="DD8494D4"/>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3" w15:restartNumberingAfterBreak="0">
    <w:nsid w:val="2E7B69C4"/>
    <w:multiLevelType w:val="hybridMultilevel"/>
    <w:tmpl w:val="A99A0C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6812532"/>
    <w:multiLevelType w:val="hybridMultilevel"/>
    <w:tmpl w:val="4E94F3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84E3FE3"/>
    <w:multiLevelType w:val="hybridMultilevel"/>
    <w:tmpl w:val="68863A2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CB403EB"/>
    <w:multiLevelType w:val="hybridMultilevel"/>
    <w:tmpl w:val="180E58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1EA42EA"/>
    <w:multiLevelType w:val="hybridMultilevel"/>
    <w:tmpl w:val="71006982"/>
    <w:lvl w:ilvl="0" w:tplc="14090003">
      <w:start w:val="1"/>
      <w:numFmt w:val="bullet"/>
      <w:lvlText w:val="o"/>
      <w:lvlJc w:val="left"/>
      <w:pPr>
        <w:ind w:left="1080" w:hanging="360"/>
      </w:pPr>
      <w:rPr>
        <w:rFonts w:ascii="Courier New" w:hAnsi="Courier New" w:cs="Courier New"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8" w15:restartNumberingAfterBreak="0">
    <w:nsid w:val="70970DD9"/>
    <w:multiLevelType w:val="hybridMultilevel"/>
    <w:tmpl w:val="C6F081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47429730">
    <w:abstractNumId w:val="8"/>
  </w:num>
  <w:num w:numId="2" w16cid:durableId="174073052">
    <w:abstractNumId w:val="4"/>
  </w:num>
  <w:num w:numId="3" w16cid:durableId="1781605906">
    <w:abstractNumId w:val="2"/>
  </w:num>
  <w:num w:numId="4" w16cid:durableId="1288007051">
    <w:abstractNumId w:val="6"/>
  </w:num>
  <w:num w:numId="5" w16cid:durableId="1330448564">
    <w:abstractNumId w:val="1"/>
  </w:num>
  <w:num w:numId="6" w16cid:durableId="1101026574">
    <w:abstractNumId w:val="7"/>
  </w:num>
  <w:num w:numId="7" w16cid:durableId="1805733373">
    <w:abstractNumId w:val="3"/>
  </w:num>
  <w:num w:numId="8" w16cid:durableId="1222987869">
    <w:abstractNumId w:val="5"/>
  </w:num>
  <w:num w:numId="9" w16cid:durableId="930506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6F5"/>
    <w:rsid w:val="000025DE"/>
    <w:rsid w:val="000314AD"/>
    <w:rsid w:val="0007292F"/>
    <w:rsid w:val="00083BD4"/>
    <w:rsid w:val="00084D4E"/>
    <w:rsid w:val="00090B41"/>
    <w:rsid w:val="000A5951"/>
    <w:rsid w:val="000B5270"/>
    <w:rsid w:val="000C5621"/>
    <w:rsid w:val="00111B72"/>
    <w:rsid w:val="001176F5"/>
    <w:rsid w:val="0012436C"/>
    <w:rsid w:val="00131B7F"/>
    <w:rsid w:val="0013782B"/>
    <w:rsid w:val="00150301"/>
    <w:rsid w:val="00183F81"/>
    <w:rsid w:val="0019796D"/>
    <w:rsid w:val="001C21A5"/>
    <w:rsid w:val="001E162A"/>
    <w:rsid w:val="001E38D1"/>
    <w:rsid w:val="00207128"/>
    <w:rsid w:val="00230014"/>
    <w:rsid w:val="0025633A"/>
    <w:rsid w:val="002614D9"/>
    <w:rsid w:val="00272DE4"/>
    <w:rsid w:val="00274173"/>
    <w:rsid w:val="00275489"/>
    <w:rsid w:val="00293F5D"/>
    <w:rsid w:val="002D5AAA"/>
    <w:rsid w:val="002E0A37"/>
    <w:rsid w:val="002F5EE9"/>
    <w:rsid w:val="00340AE2"/>
    <w:rsid w:val="003445DE"/>
    <w:rsid w:val="003553E5"/>
    <w:rsid w:val="00391133"/>
    <w:rsid w:val="003A2EC1"/>
    <w:rsid w:val="00403221"/>
    <w:rsid w:val="00435955"/>
    <w:rsid w:val="00446A81"/>
    <w:rsid w:val="00464965"/>
    <w:rsid w:val="004727A0"/>
    <w:rsid w:val="00480694"/>
    <w:rsid w:val="00480C29"/>
    <w:rsid w:val="00491FB3"/>
    <w:rsid w:val="00494F8A"/>
    <w:rsid w:val="004C1854"/>
    <w:rsid w:val="004E237A"/>
    <w:rsid w:val="0053392E"/>
    <w:rsid w:val="005538A6"/>
    <w:rsid w:val="005F6464"/>
    <w:rsid w:val="00630065"/>
    <w:rsid w:val="006529D2"/>
    <w:rsid w:val="00683DBD"/>
    <w:rsid w:val="006844AA"/>
    <w:rsid w:val="00694538"/>
    <w:rsid w:val="006D5BE3"/>
    <w:rsid w:val="007414DC"/>
    <w:rsid w:val="00742B7B"/>
    <w:rsid w:val="00784748"/>
    <w:rsid w:val="00795BD0"/>
    <w:rsid w:val="0079605B"/>
    <w:rsid w:val="007A1A19"/>
    <w:rsid w:val="007C3837"/>
    <w:rsid w:val="007D6315"/>
    <w:rsid w:val="008067BD"/>
    <w:rsid w:val="00822432"/>
    <w:rsid w:val="00827412"/>
    <w:rsid w:val="00836956"/>
    <w:rsid w:val="008416A3"/>
    <w:rsid w:val="00854E55"/>
    <w:rsid w:val="008927EF"/>
    <w:rsid w:val="00916687"/>
    <w:rsid w:val="00951E12"/>
    <w:rsid w:val="0096078C"/>
    <w:rsid w:val="009861BA"/>
    <w:rsid w:val="009A2F9E"/>
    <w:rsid w:val="009B6006"/>
    <w:rsid w:val="009C5050"/>
    <w:rsid w:val="009E44FD"/>
    <w:rsid w:val="009F57FC"/>
    <w:rsid w:val="00A165AB"/>
    <w:rsid w:val="00A36161"/>
    <w:rsid w:val="00A421FF"/>
    <w:rsid w:val="00A77DE1"/>
    <w:rsid w:val="00A949E7"/>
    <w:rsid w:val="00AE4102"/>
    <w:rsid w:val="00AE45EC"/>
    <w:rsid w:val="00AE54BB"/>
    <w:rsid w:val="00B37BAF"/>
    <w:rsid w:val="00B66478"/>
    <w:rsid w:val="00B70785"/>
    <w:rsid w:val="00BC66CF"/>
    <w:rsid w:val="00BD48FC"/>
    <w:rsid w:val="00BE4205"/>
    <w:rsid w:val="00BF70C2"/>
    <w:rsid w:val="00C06892"/>
    <w:rsid w:val="00C11222"/>
    <w:rsid w:val="00C23DE9"/>
    <w:rsid w:val="00C26AF6"/>
    <w:rsid w:val="00C77A2C"/>
    <w:rsid w:val="00CA5CFC"/>
    <w:rsid w:val="00CB5A4B"/>
    <w:rsid w:val="00CC6659"/>
    <w:rsid w:val="00CF2E32"/>
    <w:rsid w:val="00D0596A"/>
    <w:rsid w:val="00D2549D"/>
    <w:rsid w:val="00D365E9"/>
    <w:rsid w:val="00D671F3"/>
    <w:rsid w:val="00D77821"/>
    <w:rsid w:val="00DB1D30"/>
    <w:rsid w:val="00DC595B"/>
    <w:rsid w:val="00E22CDA"/>
    <w:rsid w:val="00E345FE"/>
    <w:rsid w:val="00E4082F"/>
    <w:rsid w:val="00E54367"/>
    <w:rsid w:val="00E61C74"/>
    <w:rsid w:val="00E84B53"/>
    <w:rsid w:val="00EB4B50"/>
    <w:rsid w:val="00ED6FC6"/>
    <w:rsid w:val="00EF4484"/>
    <w:rsid w:val="00F15E07"/>
    <w:rsid w:val="00F2193F"/>
    <w:rsid w:val="00F55409"/>
    <w:rsid w:val="00FA4AA2"/>
    <w:rsid w:val="00FA6EF0"/>
    <w:rsid w:val="00FB48B2"/>
    <w:rsid w:val="00FC0479"/>
    <w:rsid w:val="00FD330B"/>
    <w:rsid w:val="00FF23A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504E2"/>
  <w15:chartTrackingRefBased/>
  <w15:docId w15:val="{770954BA-36C7-43CF-8695-BACEA0C43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76F5"/>
    <w:pPr>
      <w:ind w:left="720"/>
      <w:contextualSpacing/>
    </w:pPr>
  </w:style>
  <w:style w:type="table" w:styleId="TableGrid">
    <w:name w:val="Table Grid"/>
    <w:basedOn w:val="TableNormal"/>
    <w:uiPriority w:val="39"/>
    <w:rsid w:val="00083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A2EC1"/>
    <w:pPr>
      <w:spacing w:after="0" w:line="240" w:lineRule="auto"/>
    </w:pPr>
  </w:style>
  <w:style w:type="character" w:styleId="CommentReference">
    <w:name w:val="annotation reference"/>
    <w:basedOn w:val="DefaultParagraphFont"/>
    <w:uiPriority w:val="99"/>
    <w:semiHidden/>
    <w:unhideWhenUsed/>
    <w:rsid w:val="001E38D1"/>
    <w:rPr>
      <w:sz w:val="16"/>
      <w:szCs w:val="16"/>
    </w:rPr>
  </w:style>
  <w:style w:type="paragraph" w:styleId="CommentText">
    <w:name w:val="annotation text"/>
    <w:basedOn w:val="Normal"/>
    <w:link w:val="CommentTextChar"/>
    <w:uiPriority w:val="99"/>
    <w:semiHidden/>
    <w:unhideWhenUsed/>
    <w:rsid w:val="001E38D1"/>
    <w:pPr>
      <w:spacing w:line="240" w:lineRule="auto"/>
    </w:pPr>
    <w:rPr>
      <w:sz w:val="20"/>
      <w:szCs w:val="20"/>
    </w:rPr>
  </w:style>
  <w:style w:type="character" w:customStyle="1" w:styleId="CommentTextChar">
    <w:name w:val="Comment Text Char"/>
    <w:basedOn w:val="DefaultParagraphFont"/>
    <w:link w:val="CommentText"/>
    <w:uiPriority w:val="99"/>
    <w:semiHidden/>
    <w:rsid w:val="001E38D1"/>
    <w:rPr>
      <w:sz w:val="20"/>
      <w:szCs w:val="20"/>
    </w:rPr>
  </w:style>
  <w:style w:type="paragraph" w:styleId="CommentSubject">
    <w:name w:val="annotation subject"/>
    <w:basedOn w:val="CommentText"/>
    <w:next w:val="CommentText"/>
    <w:link w:val="CommentSubjectChar"/>
    <w:uiPriority w:val="99"/>
    <w:semiHidden/>
    <w:unhideWhenUsed/>
    <w:rsid w:val="001E38D1"/>
    <w:rPr>
      <w:b/>
      <w:bCs/>
    </w:rPr>
  </w:style>
  <w:style w:type="character" w:customStyle="1" w:styleId="CommentSubjectChar">
    <w:name w:val="Comment Subject Char"/>
    <w:basedOn w:val="CommentTextChar"/>
    <w:link w:val="CommentSubject"/>
    <w:uiPriority w:val="99"/>
    <w:semiHidden/>
    <w:rsid w:val="001E38D1"/>
    <w:rPr>
      <w:b/>
      <w:bCs/>
      <w:sz w:val="20"/>
      <w:szCs w:val="20"/>
    </w:rPr>
  </w:style>
  <w:style w:type="paragraph" w:styleId="Header">
    <w:name w:val="header"/>
    <w:basedOn w:val="Normal"/>
    <w:link w:val="HeaderChar"/>
    <w:uiPriority w:val="99"/>
    <w:semiHidden/>
    <w:unhideWhenUsed/>
    <w:rsid w:val="009861B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861BA"/>
  </w:style>
  <w:style w:type="paragraph" w:styleId="Footer">
    <w:name w:val="footer"/>
    <w:basedOn w:val="Normal"/>
    <w:link w:val="FooterChar"/>
    <w:uiPriority w:val="99"/>
    <w:semiHidden/>
    <w:unhideWhenUsed/>
    <w:rsid w:val="009861B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861BA"/>
  </w:style>
  <w:style w:type="paragraph" w:styleId="FootnoteText">
    <w:name w:val="footnote text"/>
    <w:basedOn w:val="Normal"/>
    <w:link w:val="FootnoteTextChar"/>
    <w:uiPriority w:val="99"/>
    <w:semiHidden/>
    <w:unhideWhenUsed/>
    <w:rsid w:val="009861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61BA"/>
    <w:rPr>
      <w:sz w:val="20"/>
      <w:szCs w:val="20"/>
    </w:rPr>
  </w:style>
  <w:style w:type="character" w:styleId="FootnoteReference">
    <w:name w:val="footnote reference"/>
    <w:basedOn w:val="DefaultParagraphFont"/>
    <w:uiPriority w:val="99"/>
    <w:semiHidden/>
    <w:unhideWhenUsed/>
    <w:rsid w:val="009861BA"/>
    <w:rPr>
      <w:vertAlign w:val="superscript"/>
    </w:rPr>
  </w:style>
  <w:style w:type="paragraph" w:styleId="BodyText">
    <w:name w:val="Body Text"/>
    <w:basedOn w:val="Normal"/>
    <w:link w:val="BodyTextChar"/>
    <w:uiPriority w:val="99"/>
    <w:semiHidden/>
    <w:unhideWhenUsed/>
    <w:rsid w:val="000A5951"/>
    <w:pPr>
      <w:spacing w:after="120"/>
    </w:pPr>
  </w:style>
  <w:style w:type="character" w:customStyle="1" w:styleId="BodyTextChar">
    <w:name w:val="Body Text Char"/>
    <w:basedOn w:val="DefaultParagraphFont"/>
    <w:link w:val="BodyText"/>
    <w:uiPriority w:val="99"/>
    <w:semiHidden/>
    <w:rsid w:val="000A59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CEC0D06FC2E1E48A53D36538AEC1BA0" ma:contentTypeVersion="1" ma:contentTypeDescription="Create a new document." ma:contentTypeScope="" ma:versionID="e16ed1ea25b27cada9aa5ec339842434">
  <xsd:schema xmlns:xsd="http://www.w3.org/2001/XMLSchema" xmlns:xs="http://www.w3.org/2001/XMLSchema" xmlns:p="http://schemas.microsoft.com/office/2006/metadata/properties" xmlns:ns2="7b50483e-676a-4189-aafa-cd3bd346e044" xmlns:ns3="34d02c54-e58f-4850-8fb3-67c0e6022255" targetNamespace="http://schemas.microsoft.com/office/2006/metadata/properties" ma:root="true" ma:fieldsID="fcc874972f49d6956eccb84daadc9492" ns2:_="" ns3:_="">
    <xsd:import namespace="7b50483e-676a-4189-aafa-cd3bd346e044"/>
    <xsd:import namespace="34d02c54-e58f-4850-8fb3-67c0e6022255"/>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50483e-676a-4189-aafa-cd3bd346e0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4d02c54-e58f-4850-8fb3-67c0e6022255" elementFormDefault="qualified">
    <xsd:import namespace="http://schemas.microsoft.com/office/2006/documentManagement/types"/>
    <xsd:import namespace="http://schemas.microsoft.com/office/infopath/2007/PartnerControls"/>
    <xsd:element name="lcf76f155ced4ddcb4097134ff3c332f" ma:index="11"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4d02c54-e58f-4850-8fb3-67c0e6022255" xsi:nil="true"/>
    <_dlc_DocId xmlns="7b50483e-676a-4189-aafa-cd3bd346e044">6KZWCH546DSC-1252135148-3490</_dlc_DocId>
    <_dlc_DocIdUrl xmlns="7b50483e-676a-4189-aafa-cd3bd346e044">
      <Url>https://ministryofjusticenz.sharepoint.com/sites/PolicyHarm/_layouts/15/DocIdRedir.aspx?ID=6KZWCH546DSC-1252135148-3490</Url>
      <Description>6KZWCH546DSC-1252135148-3490</Description>
    </_dlc_DocIdUrl>
  </documentManagement>
</p:properties>
</file>

<file path=customXml/itemProps1.xml><?xml version="1.0" encoding="utf-8"?>
<ds:datastoreItem xmlns:ds="http://schemas.openxmlformats.org/officeDocument/2006/customXml" ds:itemID="{FC5FFC93-10D2-44F6-8621-11041DC16B17}">
  <ds:schemaRefs>
    <ds:schemaRef ds:uri="http://schemas.openxmlformats.org/officeDocument/2006/bibliography"/>
  </ds:schemaRefs>
</ds:datastoreItem>
</file>

<file path=customXml/itemProps2.xml><?xml version="1.0" encoding="utf-8"?>
<ds:datastoreItem xmlns:ds="http://schemas.openxmlformats.org/officeDocument/2006/customXml" ds:itemID="{46D1101D-ACD9-4933-868A-0E926709D1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50483e-676a-4189-aafa-cd3bd346e044"/>
    <ds:schemaRef ds:uri="34d02c54-e58f-4850-8fb3-67c0e60222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C715AA-B61D-4536-BE64-7008232E9CDC}">
  <ds:schemaRefs>
    <ds:schemaRef ds:uri="http://schemas.microsoft.com/sharepoint/events"/>
  </ds:schemaRefs>
</ds:datastoreItem>
</file>

<file path=customXml/itemProps4.xml><?xml version="1.0" encoding="utf-8"?>
<ds:datastoreItem xmlns:ds="http://schemas.openxmlformats.org/officeDocument/2006/customXml" ds:itemID="{8D863699-C71F-4B37-BD0D-AF707863C4F7}">
  <ds:schemaRefs>
    <ds:schemaRef ds:uri="http://schemas.microsoft.com/sharepoint/v3/contenttype/forms"/>
  </ds:schemaRefs>
</ds:datastoreItem>
</file>

<file path=customXml/itemProps5.xml><?xml version="1.0" encoding="utf-8"?>
<ds:datastoreItem xmlns:ds="http://schemas.openxmlformats.org/officeDocument/2006/customXml" ds:itemID="{38A136BB-0A41-4AEE-97D8-8690FB7B9DA5}">
  <ds:schemaRefs>
    <ds:schemaRef ds:uri="34d02c54-e58f-4850-8fb3-67c0e602225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b50483e-676a-4189-aafa-cd3bd346e044"/>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Ministry of Justice</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Rogers, Rebekka</dc:creator>
  <cp:keywords/>
  <dc:description/>
  <cp:lastModifiedBy>Rogers, Rebekka</cp:lastModifiedBy>
  <cp:revision>2</cp:revision>
  <cp:lastPrinted>2023-08-07T00:53:00Z</cp:lastPrinted>
  <dcterms:created xsi:type="dcterms:W3CDTF">2023-08-10T04:35:00Z</dcterms:created>
  <dcterms:modified xsi:type="dcterms:W3CDTF">2023-08-10T04:35:00Z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0x010100CCEC0D06FC2E1E48A53D36538AEC1BA0</vt:lpwstr>
  </property>
  <property fmtid="{D5CDD505-2E9C-101B-9397-08002B2CF9AE}" pid="3" name="MediaServiceImageTags">
    <vt:lpwstr/>
  </property>
  <property fmtid="{D5CDD505-2E9C-101B-9397-08002B2CF9AE}" pid="4" name="TaxCatchAll">
    <vt:lpwstr/>
  </property>
  <property fmtid="{D5CDD505-2E9C-101B-9397-08002B2CF9AE}" pid="5" name="BusinessActivity">
    <vt:lpwstr/>
  </property>
  <property fmtid="{D5CDD505-2E9C-101B-9397-08002B2CF9AE}" pid="6" name="BusinessActivityTaxHTField">
    <vt:lpwstr/>
  </property>
  <property fmtid="{D5CDD505-2E9C-101B-9397-08002B2CF9AE}" pid="7" name="_dlc_DocIdItemGuid">
    <vt:lpwstr>76a08395-831d-47c7-861c-892e90a55905</vt:lpwstr>
  </property>
  <property fmtid="{D5CDD505-2E9C-101B-9397-08002B2CF9AE}" pid="8" name="_AdHocReviewCycleID">
    <vt:i4>1969235540</vt:i4>
  </property>
  <property fmtid="{D5CDD505-2E9C-101B-9397-08002B2CF9AE}" pid="9" name="_NewReviewCycle">
    <vt:lpwstr/>
  </property>
  <property fmtid="{D5CDD505-2E9C-101B-9397-08002B2CF9AE}" pid="10" name="_EmailSubject">
    <vt:lpwstr>Resources for the Sale and Supply of Alcohol (Rugby World Cup 2023 Extended Trading Hours) Amendment Act</vt:lpwstr>
  </property>
  <property fmtid="{D5CDD505-2E9C-101B-9397-08002B2CF9AE}" pid="11" name="_AuthorEmail">
    <vt:lpwstr>Alcohol@justice.govt.nz</vt:lpwstr>
  </property>
  <property fmtid="{D5CDD505-2E9C-101B-9397-08002B2CF9AE}" pid="12" name="_AuthorEmailDisplayName">
    <vt:lpwstr>alcohol</vt:lpwstr>
  </property>
  <property fmtid="{D5CDD505-2E9C-101B-9397-08002B2CF9AE}" pid="13" name="_PreviousAdHocReviewCycleID">
    <vt:i4>-335184352</vt:i4>
  </property>
</Properties>
</file>